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7DF18" w14:textId="77777777" w:rsidR="000A6918" w:rsidRPr="000A6918" w:rsidRDefault="000A6918" w:rsidP="000A6918">
      <w:pPr>
        <w:shd w:val="clear" w:color="auto" w:fill="FFFFFF"/>
        <w:spacing w:line="240" w:lineRule="auto"/>
        <w:outlineLvl w:val="1"/>
        <w:rPr>
          <w:rFonts w:ascii="Helvetica" w:eastAsia="Times New Roman" w:hAnsi="Helvetica" w:cs="Helvetica"/>
          <w:color w:val="1C2024"/>
          <w:spacing w:val="-1"/>
          <w:sz w:val="54"/>
          <w:szCs w:val="54"/>
          <w:lang w:eastAsia="it-IT"/>
        </w:rPr>
      </w:pPr>
      <w:r w:rsidRPr="000A6918">
        <w:rPr>
          <w:rFonts w:ascii="Helvetica" w:eastAsia="Times New Roman" w:hAnsi="Helvetica" w:cs="Helvetica"/>
          <w:color w:val="1C2024"/>
          <w:spacing w:val="-1"/>
          <w:sz w:val="54"/>
          <w:szCs w:val="54"/>
          <w:lang w:eastAsia="it-IT"/>
        </w:rPr>
        <w:t>Ue, Consiglio Istruzione. Ministro Valditara: “Forte impegno del governo su accoglienza e continuità educativa dei giovani ucraini”</w:t>
      </w:r>
    </w:p>
    <w:p w14:paraId="357688BE" w14:textId="6FB947C5" w:rsidR="000A6918" w:rsidRPr="000A6918" w:rsidRDefault="000A6918" w:rsidP="000A6918">
      <w:pPr>
        <w:shd w:val="clear" w:color="auto" w:fill="FFFFFF"/>
        <w:spacing w:line="240" w:lineRule="auto"/>
        <w:jc w:val="center"/>
        <w:textAlignment w:val="top"/>
        <w:rPr>
          <w:rFonts w:ascii="Titillium Web" w:eastAsia="Times New Roman" w:hAnsi="Titillium Web" w:cs="Times New Roman"/>
          <w:color w:val="333333"/>
          <w:sz w:val="27"/>
          <w:szCs w:val="27"/>
          <w:lang w:eastAsia="it-IT"/>
        </w:rPr>
      </w:pPr>
    </w:p>
    <w:p w14:paraId="1F689F97" w14:textId="47F07B5C" w:rsidR="000A6918" w:rsidRPr="000A6918" w:rsidRDefault="000A6918" w:rsidP="000A6918">
      <w:pPr>
        <w:shd w:val="clear" w:color="auto" w:fill="FFFFFF"/>
        <w:spacing w:line="240" w:lineRule="auto"/>
        <w:jc w:val="center"/>
        <w:textAlignment w:val="top"/>
        <w:rPr>
          <w:rFonts w:ascii="Titillium Web" w:eastAsia="Times New Roman" w:hAnsi="Titillium Web" w:cs="Times New Roman"/>
          <w:color w:val="333333"/>
          <w:sz w:val="27"/>
          <w:szCs w:val="27"/>
          <w:lang w:eastAsia="it-IT"/>
        </w:rPr>
      </w:pPr>
    </w:p>
    <w:p w14:paraId="0BBF3109" w14:textId="4B1A3859" w:rsidR="000A6918" w:rsidRPr="000A6918" w:rsidRDefault="000A6918" w:rsidP="000A6918">
      <w:pPr>
        <w:shd w:val="clear" w:color="auto" w:fill="FFFFFF"/>
        <w:spacing w:line="240" w:lineRule="auto"/>
        <w:jc w:val="center"/>
        <w:textAlignment w:val="top"/>
        <w:rPr>
          <w:rFonts w:ascii="Titillium Web" w:eastAsia="Times New Roman" w:hAnsi="Titillium Web" w:cs="Times New Roman"/>
          <w:color w:val="333333"/>
          <w:sz w:val="27"/>
          <w:szCs w:val="27"/>
          <w:lang w:eastAsia="it-IT"/>
        </w:rPr>
      </w:pPr>
    </w:p>
    <w:p w14:paraId="40C8DD31" w14:textId="77777777" w:rsidR="000A6918" w:rsidRPr="000A6918" w:rsidRDefault="000A6918" w:rsidP="000A6918">
      <w:pPr>
        <w:pBdr>
          <w:right w:val="single" w:sz="6" w:space="15" w:color="DBDBD6"/>
        </w:pBdr>
        <w:shd w:val="clear" w:color="auto" w:fill="FFFFFF"/>
        <w:spacing w:after="0" w:line="240" w:lineRule="auto"/>
        <w:rPr>
          <w:rFonts w:ascii="Titillium Web" w:eastAsia="Times New Roman" w:hAnsi="Titillium Web" w:cs="Times New Roman"/>
          <w:color w:val="5A6772"/>
          <w:sz w:val="23"/>
          <w:szCs w:val="23"/>
          <w:lang w:eastAsia="it-IT"/>
        </w:rPr>
      </w:pPr>
      <w:r w:rsidRPr="000A6918">
        <w:rPr>
          <w:rFonts w:ascii="Titillium Web" w:eastAsia="Times New Roman" w:hAnsi="Titillium Web" w:cs="Times New Roman"/>
          <w:color w:val="5A6772"/>
          <w:sz w:val="23"/>
          <w:szCs w:val="23"/>
          <w:lang w:eastAsia="it-IT"/>
        </w:rPr>
        <w:t>Lunedì, 28 novembre 2022</w:t>
      </w:r>
    </w:p>
    <w:p w14:paraId="74DA801B" w14:textId="77777777" w:rsidR="000A6918" w:rsidRPr="000A6918" w:rsidRDefault="000A6918" w:rsidP="000A6918">
      <w:pPr>
        <w:shd w:val="clear" w:color="auto" w:fill="FFFFFF"/>
        <w:spacing w:line="240" w:lineRule="auto"/>
        <w:rPr>
          <w:rFonts w:ascii="Titillium Web" w:eastAsia="Times New Roman" w:hAnsi="Titillium Web" w:cs="Times New Roman"/>
          <w:color w:val="333333"/>
          <w:sz w:val="27"/>
          <w:szCs w:val="27"/>
          <w:lang w:eastAsia="it-IT"/>
        </w:rPr>
      </w:pPr>
      <w:r w:rsidRPr="000A6918">
        <w:rPr>
          <w:rFonts w:ascii="Titillium Web" w:eastAsia="Times New Roman" w:hAnsi="Titillium Web" w:cs="Times New Roman"/>
          <w:noProof/>
          <w:color w:val="0066CC"/>
          <w:sz w:val="27"/>
          <w:szCs w:val="27"/>
          <w:lang w:eastAsia="it-IT"/>
        </w:rPr>
        <mc:AlternateContent>
          <mc:Choice Requires="wps">
            <w:drawing>
              <wp:inline distT="0" distB="0" distL="0" distR="0" wp14:anchorId="77E8CFDD" wp14:editId="397B528A">
                <wp:extent cx="304800" cy="304800"/>
                <wp:effectExtent l="0" t="0" r="0" b="0"/>
                <wp:docPr id="1" name="AutoShape 4">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958B18" id="AutoShape 4" o:spid="_x0000_s1026" href="https://www.miur.gov.it/web/guest/-/ue-consiglio-istruzione-ministro-valditara-forte-impegno-del-governo-su-accoglienza-e-continuita-educativa-dei-giovani-ucrain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7D718DCE" w14:textId="77777777" w:rsidR="000A6918" w:rsidRPr="000A6918" w:rsidRDefault="000A6918" w:rsidP="000A6918">
      <w:pPr>
        <w:shd w:val="clear" w:color="auto" w:fill="FFFFFF"/>
        <w:spacing w:line="240" w:lineRule="auto"/>
        <w:rPr>
          <w:rFonts w:ascii="Titillium Web" w:eastAsia="Times New Roman" w:hAnsi="Titillium Web" w:cs="Times New Roman"/>
          <w:color w:val="333333"/>
          <w:sz w:val="27"/>
          <w:szCs w:val="27"/>
          <w:lang w:eastAsia="it-IT"/>
        </w:rPr>
      </w:pPr>
      <w:r w:rsidRPr="000A6918">
        <w:rPr>
          <w:rFonts w:ascii="Titillium Web" w:eastAsia="Times New Roman" w:hAnsi="Titillium Web" w:cs="Times New Roman"/>
          <w:color w:val="333333"/>
          <w:sz w:val="27"/>
          <w:szCs w:val="27"/>
          <w:lang w:eastAsia="it-IT"/>
        </w:rPr>
        <w:t>Il Ministro dell’Istruzione e del Merito, Prof. Giuseppe Valditara, ha partecipato oggi alla riunione del Consiglio dei Ministri dell’Istruzione dell’Unione Europea, confrontandosi con i propri omologhi in questo primo appuntamento brussellese.  </w:t>
      </w:r>
      <w:r w:rsidRPr="000A6918">
        <w:rPr>
          <w:rFonts w:ascii="Titillium Web" w:eastAsia="Times New Roman" w:hAnsi="Titillium Web" w:cs="Times New Roman"/>
          <w:color w:val="333333"/>
          <w:sz w:val="27"/>
          <w:szCs w:val="27"/>
          <w:lang w:eastAsia="it-IT"/>
        </w:rPr>
        <w:br/>
      </w:r>
      <w:r w:rsidRPr="000A6918">
        <w:rPr>
          <w:rFonts w:ascii="Titillium Web" w:eastAsia="Times New Roman" w:hAnsi="Titillium Web" w:cs="Times New Roman"/>
          <w:color w:val="333333"/>
          <w:sz w:val="27"/>
          <w:szCs w:val="27"/>
          <w:lang w:eastAsia="it-IT"/>
        </w:rPr>
        <w:br/>
        <w:t>Nel corso dell’incontro sono state adottate la raccomandazione del Consiglio sui percorsi per il successo scolastico, con l’obiettivo di ridurre l’abbandono precoce dell’istruzione e di migliorare le competenze di base e le Conclusioni del Consiglio sul sostegno al benessere nell’istruzione digitale.   </w:t>
      </w:r>
      <w:r w:rsidRPr="000A6918">
        <w:rPr>
          <w:rFonts w:ascii="Titillium Web" w:eastAsia="Times New Roman" w:hAnsi="Titillium Web" w:cs="Times New Roman"/>
          <w:color w:val="333333"/>
          <w:sz w:val="27"/>
          <w:szCs w:val="27"/>
          <w:lang w:eastAsia="it-IT"/>
        </w:rPr>
        <w:br/>
      </w:r>
      <w:r w:rsidRPr="000A6918">
        <w:rPr>
          <w:rFonts w:ascii="Titillium Web" w:eastAsia="Times New Roman" w:hAnsi="Titillium Web" w:cs="Times New Roman"/>
          <w:color w:val="333333"/>
          <w:sz w:val="27"/>
          <w:szCs w:val="27"/>
          <w:lang w:eastAsia="it-IT"/>
        </w:rPr>
        <w:br/>
        <w:t xml:space="preserve">Durante il dibattito politico è stato inoltre trattato il tema dello Spazio europeo dell’istruzione nell’attuale contesto della guerra di aggressione della Russia contro l’Ucraina. Nel suo intervento, il Ministro Valditara ha valorizzato il modello italiano di accoglienza degli studenti ucraini integrati nel nostro sistema educativo. “Il governo italiano è fortemente impegnato a garantire la continuità educativa dei giovani sfollati ucraini. Si tratta, a nostro giudizio, di una indiscutibile priorità politica, culturale e umanitaria, per riaffermare i valori europei della democrazia, della pace e della libertà nell’ambito della risposta ferma e coordinata all’aggressione russa dell’Ucraina” – dichiara il Ministro –. “Finora, risultano arrivati in Italia circa 173.000 sfollati per riunirsi con gli ucraini già residenti nel nostro Paese e tra essi vi è un’altissima percentuale di minori, circa 50.000. La nostra politica di accoglienza si basa sulla lunga esperienza italiana nell’inserimento dei ragazzi stranieri con un </w:t>
      </w:r>
      <w:r w:rsidRPr="000A6918">
        <w:rPr>
          <w:rFonts w:ascii="Titillium Web" w:eastAsia="Times New Roman" w:hAnsi="Titillium Web" w:cs="Times New Roman"/>
          <w:color w:val="333333"/>
          <w:sz w:val="27"/>
          <w:szCs w:val="27"/>
          <w:lang w:eastAsia="it-IT"/>
        </w:rPr>
        <w:lastRenderedPageBreak/>
        <w:t>sostegno personalizzato, linguistico e psicologico, nelle classi con i loro coetanei, per favorire le relazioni interpersonali e la piena integrazione nella comunità scolastica”.   </w:t>
      </w:r>
      <w:r w:rsidRPr="000A6918">
        <w:rPr>
          <w:rFonts w:ascii="Titillium Web" w:eastAsia="Times New Roman" w:hAnsi="Titillium Web" w:cs="Times New Roman"/>
          <w:color w:val="333333"/>
          <w:sz w:val="27"/>
          <w:szCs w:val="27"/>
          <w:lang w:eastAsia="it-IT"/>
        </w:rPr>
        <w:br/>
      </w:r>
      <w:r w:rsidRPr="000A6918">
        <w:rPr>
          <w:rFonts w:ascii="Titillium Web" w:eastAsia="Times New Roman" w:hAnsi="Titillium Web" w:cs="Times New Roman"/>
          <w:color w:val="333333"/>
          <w:sz w:val="27"/>
          <w:szCs w:val="27"/>
          <w:lang w:eastAsia="it-IT"/>
        </w:rPr>
        <w:br/>
        <w:t>Il Ministro ha, inoltre, evidenziato il ruolo cruciale della collaborazione tra i Ministeri dell’Istruzione degli Stati membri dell’UE con la Commissione per dare risposte alle crisi attuali e future. In particolare, il Ministro ha sottolineato l’importanza della flessibilità dei fondi e dei programmi europei per poter rispondere efficacemente ai momenti di crisi e di continuare a lavorare per il riconoscimento delle qualifiche degli studenti ucraini, affinché non vi sia nessun ostacolo alla continuità dei loro percorsi educativi. All’intervento del Ministro Valditara sulla necessità di rafforzare la collaborazione nell’ambito della Spazio Europeo dell’Istruzione e di utilizzare pienamente tutti i suoi strumenti per affrontare le crisi future hanno fatto eco gli interventi della Germania, della Grecia, della Finlandia, della Slovenia, di Cipro, della Danimarca e dell’Austria.  </w:t>
      </w:r>
      <w:r w:rsidRPr="000A6918">
        <w:rPr>
          <w:rFonts w:ascii="Titillium Web" w:eastAsia="Times New Roman" w:hAnsi="Titillium Web" w:cs="Times New Roman"/>
          <w:color w:val="333333"/>
          <w:sz w:val="27"/>
          <w:szCs w:val="27"/>
          <w:lang w:eastAsia="it-IT"/>
        </w:rPr>
        <w:br/>
      </w:r>
      <w:r w:rsidRPr="000A6918">
        <w:rPr>
          <w:rFonts w:ascii="Titillium Web" w:eastAsia="Times New Roman" w:hAnsi="Titillium Web" w:cs="Times New Roman"/>
          <w:color w:val="333333"/>
          <w:sz w:val="27"/>
          <w:szCs w:val="27"/>
          <w:lang w:eastAsia="it-IT"/>
        </w:rPr>
        <w:br/>
        <w:t>Inoltre, la necessità di collaborare con il Ministero ucraino per sostenere le iscrizioni dei bambini sfollati nei sistemi educativi degli Stati Membri accoglienti, assicurando la continuità degli apprendimenti, sottolineata dal Ministro Valditara, ha trovato una convergenza nell’intervento della Francia.  </w:t>
      </w:r>
      <w:r w:rsidRPr="000A6918">
        <w:rPr>
          <w:rFonts w:ascii="Titillium Web" w:eastAsia="Times New Roman" w:hAnsi="Titillium Web" w:cs="Times New Roman"/>
          <w:color w:val="333333"/>
          <w:sz w:val="27"/>
          <w:szCs w:val="27"/>
          <w:lang w:eastAsia="it-IT"/>
        </w:rPr>
        <w:br/>
      </w:r>
      <w:r w:rsidRPr="000A6918">
        <w:rPr>
          <w:rFonts w:ascii="Titillium Web" w:eastAsia="Times New Roman" w:hAnsi="Titillium Web" w:cs="Times New Roman"/>
          <w:color w:val="333333"/>
          <w:sz w:val="27"/>
          <w:szCs w:val="27"/>
          <w:lang w:eastAsia="it-IT"/>
        </w:rPr>
        <w:br/>
        <w:t>  A margine della riunione del Consiglio, il Ministro ha avuto un primo utile incontro con la Commissaria per l’innovazione, la ricerca, la cultura, l’educazione e la gioventù, Mariya Gabriel, nel quale ha sottolineato l’importanza di sostenere un incremento degli investimenti di qualità nell’Istruzione e nell’Innovazione e di poter contare su una maggiore flessibilità degli strumenti finanziari europei per Istruzione e Ricerca. Inoltre, il Ministro ha messo in luce l’importanza di sviluppare le relazioni esterne attraverso partenariati con i Paesi Terzi, in particolare con l’Africa.</w:t>
      </w:r>
    </w:p>
    <w:p w14:paraId="5922640B" w14:textId="77777777" w:rsidR="00820E82" w:rsidRDefault="00820E82"/>
    <w:sectPr w:rsidR="00820E8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tillium Web">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918"/>
    <w:rsid w:val="000A6918"/>
    <w:rsid w:val="00820E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994C3"/>
  <w15:chartTrackingRefBased/>
  <w15:docId w15:val="{1D437367-6AB1-4DDE-BFD9-6A3D4D5EC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168744">
      <w:bodyDiv w:val="1"/>
      <w:marLeft w:val="0"/>
      <w:marRight w:val="0"/>
      <w:marTop w:val="0"/>
      <w:marBottom w:val="0"/>
      <w:divBdr>
        <w:top w:val="none" w:sz="0" w:space="0" w:color="auto"/>
        <w:left w:val="none" w:sz="0" w:space="0" w:color="auto"/>
        <w:bottom w:val="none" w:sz="0" w:space="0" w:color="auto"/>
        <w:right w:val="none" w:sz="0" w:space="0" w:color="auto"/>
      </w:divBdr>
      <w:divsChild>
        <w:div w:id="8068783">
          <w:marLeft w:val="0"/>
          <w:marRight w:val="0"/>
          <w:marTop w:val="0"/>
          <w:marBottom w:val="300"/>
          <w:divBdr>
            <w:top w:val="none" w:sz="0" w:space="0" w:color="auto"/>
            <w:left w:val="none" w:sz="0" w:space="0" w:color="auto"/>
            <w:bottom w:val="none" w:sz="0" w:space="0" w:color="auto"/>
            <w:right w:val="none" w:sz="0" w:space="0" w:color="auto"/>
          </w:divBdr>
        </w:div>
        <w:div w:id="1208565423">
          <w:marLeft w:val="0"/>
          <w:marRight w:val="0"/>
          <w:marTop w:val="0"/>
          <w:marBottom w:val="0"/>
          <w:divBdr>
            <w:top w:val="none" w:sz="0" w:space="0" w:color="auto"/>
            <w:left w:val="none" w:sz="0" w:space="0" w:color="auto"/>
            <w:bottom w:val="none" w:sz="0" w:space="0" w:color="auto"/>
            <w:right w:val="none" w:sz="0" w:space="0" w:color="auto"/>
          </w:divBdr>
          <w:divsChild>
            <w:div w:id="526602858">
              <w:marLeft w:val="0"/>
              <w:marRight w:val="0"/>
              <w:marTop w:val="0"/>
              <w:marBottom w:val="0"/>
              <w:divBdr>
                <w:top w:val="none" w:sz="0" w:space="0" w:color="auto"/>
                <w:left w:val="none" w:sz="0" w:space="0" w:color="auto"/>
                <w:bottom w:val="none" w:sz="0" w:space="0" w:color="auto"/>
                <w:right w:val="none" w:sz="0" w:space="0" w:color="auto"/>
              </w:divBdr>
              <w:divsChild>
                <w:div w:id="697197603">
                  <w:marLeft w:val="0"/>
                  <w:marRight w:val="72"/>
                  <w:marTop w:val="0"/>
                  <w:marBottom w:val="225"/>
                  <w:divBdr>
                    <w:top w:val="none" w:sz="0" w:space="0" w:color="auto"/>
                    <w:left w:val="none" w:sz="0" w:space="0" w:color="auto"/>
                    <w:bottom w:val="none" w:sz="0" w:space="0" w:color="auto"/>
                    <w:right w:val="none" w:sz="0" w:space="0" w:color="auto"/>
                  </w:divBdr>
                </w:div>
                <w:div w:id="751777872">
                  <w:marLeft w:val="0"/>
                  <w:marRight w:val="72"/>
                  <w:marTop w:val="0"/>
                  <w:marBottom w:val="225"/>
                  <w:divBdr>
                    <w:top w:val="none" w:sz="0" w:space="0" w:color="auto"/>
                    <w:left w:val="none" w:sz="0" w:space="0" w:color="auto"/>
                    <w:bottom w:val="none" w:sz="0" w:space="0" w:color="auto"/>
                    <w:right w:val="none" w:sz="0" w:space="0" w:color="auto"/>
                  </w:divBdr>
                </w:div>
                <w:div w:id="1901362482">
                  <w:marLeft w:val="0"/>
                  <w:marRight w:val="72"/>
                  <w:marTop w:val="0"/>
                  <w:marBottom w:val="225"/>
                  <w:divBdr>
                    <w:top w:val="none" w:sz="0" w:space="0" w:color="auto"/>
                    <w:left w:val="none" w:sz="0" w:space="0" w:color="auto"/>
                    <w:bottom w:val="none" w:sz="0" w:space="0" w:color="auto"/>
                    <w:right w:val="none" w:sz="0" w:space="0" w:color="auto"/>
                  </w:divBdr>
                </w:div>
              </w:divsChild>
            </w:div>
          </w:divsChild>
        </w:div>
        <w:div w:id="375471625">
          <w:marLeft w:val="0"/>
          <w:marRight w:val="0"/>
          <w:marTop w:val="0"/>
          <w:marBottom w:val="300"/>
          <w:divBdr>
            <w:top w:val="single" w:sz="6" w:space="3" w:color="DBDBD6"/>
            <w:left w:val="none" w:sz="0" w:space="0" w:color="auto"/>
            <w:bottom w:val="single" w:sz="6" w:space="3" w:color="DBDBD6"/>
            <w:right w:val="none" w:sz="0" w:space="0" w:color="auto"/>
          </w:divBdr>
          <w:divsChild>
            <w:div w:id="1597865626">
              <w:marLeft w:val="0"/>
              <w:marRight w:val="0"/>
              <w:marTop w:val="0"/>
              <w:marBottom w:val="0"/>
              <w:divBdr>
                <w:top w:val="none" w:sz="0" w:space="0" w:color="auto"/>
                <w:left w:val="single" w:sz="6" w:space="8" w:color="DBDBD6"/>
                <w:bottom w:val="none" w:sz="0" w:space="0" w:color="auto"/>
                <w:right w:val="none" w:sz="0" w:space="0" w:color="auto"/>
              </w:divBdr>
            </w:div>
          </w:divsChild>
        </w:div>
        <w:div w:id="2138450868">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iur.gov.it/web/guest/-/ue-consiglio-istruzione-ministro-valditara-forte-impegno-del-governo-su-accoglienza-e-continuita-educativa-dei-giovani-ucrain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556</Words>
  <Characters>3170</Characters>
  <Application>Microsoft Office Word</Application>
  <DocSecurity>0</DocSecurity>
  <Lines>26</Lines>
  <Paragraphs>7</Paragraphs>
  <ScaleCrop>false</ScaleCrop>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dc:creator>
  <cp:keywords/>
  <dc:description/>
  <cp:lastModifiedBy>Daniele</cp:lastModifiedBy>
  <cp:revision>1</cp:revision>
  <dcterms:created xsi:type="dcterms:W3CDTF">2022-11-28T21:40:00Z</dcterms:created>
  <dcterms:modified xsi:type="dcterms:W3CDTF">2022-11-28T21:41:00Z</dcterms:modified>
</cp:coreProperties>
</file>