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BD81" w14:textId="77777777" w:rsidR="00407822" w:rsidRPr="00407822" w:rsidRDefault="00407822" w:rsidP="00407822">
      <w:pPr>
        <w:shd w:val="clear" w:color="auto" w:fill="FFFFFF"/>
        <w:spacing w:after="0" w:line="240" w:lineRule="auto"/>
        <w:outlineLvl w:val="0"/>
        <w:rPr>
          <w:rFonts w:ascii="Helvetica" w:eastAsia="Times New Roman" w:hAnsi="Helvetica" w:cs="Helvetica"/>
          <w:b/>
          <w:bCs/>
          <w:color w:val="000000"/>
          <w:kern w:val="36"/>
          <w:sz w:val="36"/>
          <w:szCs w:val="36"/>
          <w:lang w:eastAsia="it-IT"/>
        </w:rPr>
      </w:pPr>
      <w:r w:rsidRPr="00407822">
        <w:rPr>
          <w:rFonts w:ascii="Helvetica" w:eastAsia="Times New Roman" w:hAnsi="Helvetica" w:cs="Helvetica"/>
          <w:b/>
          <w:bCs/>
          <w:color w:val="000000"/>
          <w:kern w:val="36"/>
          <w:sz w:val="36"/>
          <w:szCs w:val="36"/>
          <w:lang w:eastAsia="it-IT"/>
        </w:rPr>
        <w:t>Nuova procedura di reclutamento nel sostegno: il Ministero illustra il regolamento del concorso ai sindacati</w:t>
      </w:r>
    </w:p>
    <w:p w14:paraId="78D3D5D3" w14:textId="77777777" w:rsidR="00407822" w:rsidRPr="00407822" w:rsidRDefault="00407822" w:rsidP="00407822">
      <w:pPr>
        <w:shd w:val="clear" w:color="auto" w:fill="FFFFFF"/>
        <w:spacing w:after="0" w:line="255" w:lineRule="atLeast"/>
        <w:outlineLvl w:val="3"/>
        <w:rPr>
          <w:rFonts w:ascii="Helvetica" w:eastAsia="Times New Roman" w:hAnsi="Helvetica" w:cs="Helvetica"/>
          <w:b/>
          <w:bCs/>
          <w:color w:val="555555"/>
          <w:sz w:val="26"/>
          <w:szCs w:val="26"/>
          <w:lang w:eastAsia="it-IT"/>
        </w:rPr>
      </w:pPr>
      <w:r w:rsidRPr="00407822">
        <w:rPr>
          <w:rFonts w:ascii="Helvetica" w:eastAsia="Times New Roman" w:hAnsi="Helvetica" w:cs="Helvetica"/>
          <w:b/>
          <w:bCs/>
          <w:color w:val="555555"/>
          <w:sz w:val="26"/>
          <w:szCs w:val="26"/>
          <w:lang w:eastAsia="it-IT"/>
        </w:rPr>
        <w:t>Una graduatoria su base regionale, contratto a TD al 31 agosto, percorso di formazione e prova disciplinare al termine del percorso con commissione esterna.</w:t>
      </w:r>
    </w:p>
    <w:p w14:paraId="71BF094B" w14:textId="77777777" w:rsidR="00407822" w:rsidRPr="00407822" w:rsidRDefault="00407822" w:rsidP="00407822">
      <w:pPr>
        <w:shd w:val="clear" w:color="auto" w:fill="FFFFFF"/>
        <w:spacing w:after="0" w:line="240" w:lineRule="auto"/>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27/09/2022</w:t>
      </w:r>
    </w:p>
    <w:p w14:paraId="48D47603" w14:textId="77777777" w:rsidR="00407822" w:rsidRPr="00407822" w:rsidRDefault="00407822" w:rsidP="00407822">
      <w:pPr>
        <w:shd w:val="clear" w:color="auto" w:fill="FFFFFF"/>
        <w:spacing w:after="0" w:line="240" w:lineRule="auto"/>
        <w:rPr>
          <w:rFonts w:ascii="Helvetica" w:eastAsia="Times New Roman" w:hAnsi="Helvetica" w:cs="Helvetica"/>
          <w:color w:val="000000"/>
          <w:sz w:val="21"/>
          <w:szCs w:val="21"/>
          <w:lang w:eastAsia="it-IT"/>
        </w:rPr>
      </w:pPr>
      <w:r w:rsidRPr="00407822">
        <w:rPr>
          <w:rFonts w:ascii="Helvetica" w:eastAsia="Times New Roman" w:hAnsi="Helvetica" w:cs="Helvetica"/>
          <w:noProof/>
          <w:color w:val="000000"/>
          <w:sz w:val="21"/>
          <w:szCs w:val="21"/>
          <w:lang w:eastAsia="it-IT"/>
        </w:rPr>
        <w:drawing>
          <wp:inline distT="0" distB="0" distL="0" distR="0" wp14:anchorId="5F4D3F17" wp14:editId="317A31E5">
            <wp:extent cx="133350" cy="133350"/>
            <wp:effectExtent l="0" t="0" r="0" b="0"/>
            <wp:docPr id="1" name="minustext" descr="De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text" descr="Decrease text siz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07822">
        <w:rPr>
          <w:rFonts w:ascii="Helvetica" w:eastAsia="Times New Roman" w:hAnsi="Helvetica" w:cs="Helvetica"/>
          <w:color w:val="000000"/>
          <w:sz w:val="21"/>
          <w:szCs w:val="21"/>
          <w:lang w:eastAsia="it-IT"/>
        </w:rPr>
        <w:t> </w:t>
      </w:r>
      <w:r w:rsidRPr="00407822">
        <w:rPr>
          <w:rFonts w:ascii="Helvetica" w:eastAsia="Times New Roman" w:hAnsi="Helvetica" w:cs="Helvetica"/>
          <w:noProof/>
          <w:color w:val="000000"/>
          <w:sz w:val="21"/>
          <w:szCs w:val="21"/>
          <w:lang w:eastAsia="it-IT"/>
        </w:rPr>
        <w:drawing>
          <wp:inline distT="0" distB="0" distL="0" distR="0" wp14:anchorId="37D8DE2E" wp14:editId="15D06933">
            <wp:extent cx="152400" cy="133350"/>
            <wp:effectExtent l="0" t="0" r="0" b="0"/>
            <wp:docPr id="2" name="plustext" descr="In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text" descr="Increase  text si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p w14:paraId="19C01CFF"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color w:val="000000"/>
          <w:sz w:val="21"/>
          <w:szCs w:val="21"/>
          <w:lang w:eastAsia="it-IT"/>
        </w:rPr>
        <w:t>Il Ministero dell’Istruzione ha illustrato alle organizzazioni sindacali, convocate per l’informativa, le caratteristiche della nuova procedura di reclutamento per i posti di sostegno.</w:t>
      </w:r>
    </w:p>
    <w:p w14:paraId="7A25162F"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La procedura:</w:t>
      </w:r>
      <w:r w:rsidRPr="00407822">
        <w:rPr>
          <w:rFonts w:ascii="Helvetica" w:eastAsia="Times New Roman" w:hAnsi="Helvetica" w:cs="Helvetica"/>
          <w:color w:val="000000"/>
          <w:sz w:val="21"/>
          <w:szCs w:val="21"/>
          <w:lang w:eastAsia="it-IT"/>
        </w:rPr>
        <w:t> è il frutto di una misura introdotta nella Legge di Bilancio 2021 (</w:t>
      </w:r>
      <w:hyperlink r:id="rId7" w:tgtFrame="_blank" w:history="1">
        <w:r w:rsidRPr="00407822">
          <w:rPr>
            <w:rFonts w:ascii="Helvetica" w:eastAsia="Times New Roman" w:hAnsi="Helvetica" w:cs="Helvetica"/>
            <w:color w:val="0088CC"/>
            <w:sz w:val="21"/>
            <w:szCs w:val="21"/>
            <w:u w:val="single"/>
            <w:lang w:eastAsia="it-IT"/>
          </w:rPr>
          <w:t>L 178/2020 art. 1 c. 980</w:t>
        </w:r>
      </w:hyperlink>
      <w:r w:rsidRPr="00407822">
        <w:rPr>
          <w:rFonts w:ascii="Helvetica" w:eastAsia="Times New Roman" w:hAnsi="Helvetica" w:cs="Helvetica"/>
          <w:color w:val="000000"/>
          <w:sz w:val="21"/>
          <w:szCs w:val="21"/>
          <w:lang w:eastAsia="it-IT"/>
        </w:rPr>
        <w:t>), su emendamento di Vittoria Casa (M5S).</w:t>
      </w:r>
    </w:p>
    <w:p w14:paraId="7BD10813"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Il concorso: </w:t>
      </w:r>
      <w:r w:rsidRPr="00407822">
        <w:rPr>
          <w:rFonts w:ascii="Helvetica" w:eastAsia="Times New Roman" w:hAnsi="Helvetica" w:cs="Helvetica"/>
          <w:color w:val="000000"/>
          <w:sz w:val="21"/>
          <w:szCs w:val="21"/>
          <w:lang w:eastAsia="it-IT"/>
        </w:rPr>
        <w:t>sarà nazionale ma articolato su base regionale. Potrà essere utilizzato per assegnare i posti di sostegno dei diversi ordini e gradi di scuola che residuano in caso di esaurimento di tutte le altre graduatorie utilizzabili ai fini delle assunzioni a tempo indeterminato (tra cui GAE e graduatorie dei concorsi). Per la scuola secondaria questa procedura potrà restare in piedi fino al 31 dicembre 2025.</w:t>
      </w:r>
    </w:p>
    <w:p w14:paraId="1D2FBC9D"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Chi potrà partecipare:</w:t>
      </w:r>
      <w:r w:rsidRPr="00407822">
        <w:rPr>
          <w:rFonts w:ascii="Helvetica" w:eastAsia="Times New Roman" w:hAnsi="Helvetica" w:cs="Helvetica"/>
          <w:color w:val="000000"/>
          <w:sz w:val="21"/>
          <w:szCs w:val="21"/>
          <w:lang w:eastAsia="it-IT"/>
        </w:rPr>
        <w:t> i docenti in possesso della specializzazione sul relativo grado.</w:t>
      </w:r>
    </w:p>
    <w:p w14:paraId="4B638251"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color w:val="000000"/>
          <w:sz w:val="21"/>
          <w:szCs w:val="21"/>
          <w:lang w:eastAsia="it-IT"/>
        </w:rPr>
        <w:t>Chi ha conseguito il titolo estero potrà partecipare a pieno titolo se ha ottenuto il riconoscimento. Per chi è in attesa di riconoscimento è prevista la possibilità di partecipare con riserva, per cui l’individuazione può avvenire dopo il riconoscimento.</w:t>
      </w:r>
    </w:p>
    <w:p w14:paraId="438B2881"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Come partecipare e quando:</w:t>
      </w:r>
      <w:r w:rsidRPr="00407822">
        <w:rPr>
          <w:rFonts w:ascii="Helvetica" w:eastAsia="Times New Roman" w:hAnsi="Helvetica" w:cs="Helvetica"/>
          <w:color w:val="000000"/>
          <w:sz w:val="21"/>
          <w:szCs w:val="21"/>
          <w:lang w:eastAsia="it-IT"/>
        </w:rPr>
        <w:t> sarà emanato un apposito decreto dal ministero che definirà il bando e i tempi per presentare l’istanza. Già ora sappiamo che si potrà fare domanda per una sola regione e per tutti i posti per cui si ha il titolo. La graduatoria verrà aggiornata ogni due anni.</w:t>
      </w:r>
    </w:p>
    <w:p w14:paraId="4C9DB6DA"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Graduatoria per titoli:</w:t>
      </w:r>
      <w:r w:rsidRPr="00407822">
        <w:rPr>
          <w:rFonts w:ascii="Helvetica" w:eastAsia="Times New Roman" w:hAnsi="Helvetica" w:cs="Helvetica"/>
          <w:color w:val="000000"/>
          <w:sz w:val="21"/>
          <w:szCs w:val="21"/>
          <w:lang w:eastAsia="it-IT"/>
        </w:rPr>
        <w:t> i partecipanti saranno inseriti in una graduatoria regionale per titoli. Per la valutazione dei titoli si fa riferimento alla </w:t>
      </w:r>
      <w:hyperlink r:id="rId8" w:tgtFrame="_blank" w:history="1">
        <w:r w:rsidRPr="00407822">
          <w:rPr>
            <w:rFonts w:ascii="Helvetica" w:eastAsia="Times New Roman" w:hAnsi="Helvetica" w:cs="Helvetica"/>
            <w:color w:val="0088CC"/>
            <w:sz w:val="21"/>
            <w:szCs w:val="21"/>
            <w:u w:val="single"/>
            <w:lang w:eastAsia="it-IT"/>
          </w:rPr>
          <w:t xml:space="preserve">tabella A/7 allegata </w:t>
        </w:r>
        <w:proofErr w:type="spellStart"/>
        <w:r w:rsidRPr="00407822">
          <w:rPr>
            <w:rFonts w:ascii="Helvetica" w:eastAsia="Times New Roman" w:hAnsi="Helvetica" w:cs="Helvetica"/>
            <w:color w:val="0088CC"/>
            <w:sz w:val="21"/>
            <w:szCs w:val="21"/>
            <w:u w:val="single"/>
            <w:lang w:eastAsia="it-IT"/>
          </w:rPr>
          <w:t>all</w:t>
        </w:r>
        <w:proofErr w:type="spellEnd"/>
        <w:r w:rsidRPr="00407822">
          <w:rPr>
            <w:rFonts w:ascii="Helvetica" w:eastAsia="Times New Roman" w:hAnsi="Helvetica" w:cs="Helvetica"/>
            <w:color w:val="0088CC"/>
            <w:sz w:val="21"/>
            <w:szCs w:val="21"/>
            <w:u w:val="single"/>
            <w:rtl/>
            <w:lang w:eastAsia="it-IT"/>
          </w:rPr>
          <w:t>’</w:t>
        </w:r>
        <w:r w:rsidRPr="00407822">
          <w:rPr>
            <w:rFonts w:ascii="Helvetica" w:eastAsia="Times New Roman" w:hAnsi="Helvetica" w:cs="Helvetica"/>
            <w:color w:val="0088CC"/>
            <w:sz w:val="21"/>
            <w:szCs w:val="21"/>
            <w:u w:val="single"/>
            <w:lang w:eastAsia="it-IT"/>
          </w:rPr>
          <w:t>ordinanza ministeriale 112 del 2022</w:t>
        </w:r>
      </w:hyperlink>
      <w:r w:rsidRPr="00407822">
        <w:rPr>
          <w:rFonts w:ascii="Helvetica" w:eastAsia="Times New Roman" w:hAnsi="Helvetica" w:cs="Helvetica"/>
          <w:color w:val="000000"/>
          <w:sz w:val="21"/>
          <w:szCs w:val="21"/>
          <w:lang w:eastAsia="it-IT"/>
        </w:rPr>
        <w:t>. Inoltre sono acquisiti i titoli eventualmente presentati in occasione della costituzione delle graduatorie provinciali per le supplenze e validati.</w:t>
      </w:r>
    </w:p>
    <w:p w14:paraId="597CA8CD"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Assegnazione incarico a tempo determinato:</w:t>
      </w:r>
      <w:r w:rsidRPr="00407822">
        <w:rPr>
          <w:rFonts w:ascii="Helvetica" w:eastAsia="Times New Roman" w:hAnsi="Helvetica" w:cs="Helvetica"/>
          <w:color w:val="000000"/>
          <w:sz w:val="21"/>
          <w:szCs w:val="21"/>
          <w:lang w:eastAsia="it-IT"/>
        </w:rPr>
        <w:t> i docenti collocati in posizione utile saranno individuati e, con procedura informatizzata, assegnati ad una scuola dove otterranno un contratto di supplenza annuale (31 agosto). E’ previsto che i docenti svolgano il percorso di formazione e prova con test finale  previsto dal </w:t>
      </w:r>
      <w:hyperlink r:id="rId9" w:tgtFrame="_blank" w:history="1">
        <w:r w:rsidRPr="00407822">
          <w:rPr>
            <w:rFonts w:ascii="Helvetica" w:eastAsia="Times New Roman" w:hAnsi="Helvetica" w:cs="Helvetica"/>
            <w:color w:val="0088CC"/>
            <w:sz w:val="21"/>
            <w:szCs w:val="21"/>
            <w:u w:val="single"/>
            <w:lang w:eastAsia="it-IT"/>
          </w:rPr>
          <w:t>decreto ministeriale 226/2022</w:t>
        </w:r>
      </w:hyperlink>
      <w:r w:rsidRPr="00407822">
        <w:rPr>
          <w:rFonts w:ascii="Helvetica" w:eastAsia="Times New Roman" w:hAnsi="Helvetica" w:cs="Helvetica"/>
          <w:color w:val="000000"/>
          <w:sz w:val="21"/>
          <w:szCs w:val="21"/>
          <w:lang w:eastAsia="it-IT"/>
        </w:rPr>
        <w:t>. Chi supera positivamente il percorso sarà ammesso alla prova disciplinare di idoneità con una commissione esterna (sul modello della prova prevista per i docenti da GPS 1 fascia).</w:t>
      </w:r>
    </w:p>
    <w:p w14:paraId="1E64B7FC"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Assunzione a tempo indeterminato:</w:t>
      </w:r>
      <w:r w:rsidRPr="00407822">
        <w:rPr>
          <w:rFonts w:ascii="Helvetica" w:eastAsia="Times New Roman" w:hAnsi="Helvetica" w:cs="Helvetica"/>
          <w:color w:val="000000"/>
          <w:sz w:val="21"/>
          <w:szCs w:val="21"/>
          <w:lang w:eastAsia="it-IT"/>
        </w:rPr>
        <w:t xml:space="preserve"> i docenti che supereranno l’anno di formazione e prova e la prova disciplinare saranno assunti a tempo indeterminato a decorrere dal 1° settembre </w:t>
      </w:r>
      <w:proofErr w:type="spellStart"/>
      <w:r w:rsidRPr="00407822">
        <w:rPr>
          <w:rFonts w:ascii="Helvetica" w:eastAsia="Times New Roman" w:hAnsi="Helvetica" w:cs="Helvetica"/>
          <w:color w:val="000000"/>
          <w:sz w:val="21"/>
          <w:szCs w:val="21"/>
          <w:lang w:eastAsia="it-IT"/>
        </w:rPr>
        <w:t>dell</w:t>
      </w:r>
      <w:proofErr w:type="spellEnd"/>
      <w:r w:rsidRPr="00407822">
        <w:rPr>
          <w:rFonts w:ascii="Helvetica" w:eastAsia="Times New Roman" w:hAnsi="Helvetica" w:cs="Helvetica"/>
          <w:color w:val="000000"/>
          <w:sz w:val="21"/>
          <w:szCs w:val="21"/>
          <w:rtl/>
          <w:lang w:eastAsia="it-IT"/>
        </w:rPr>
        <w:t>’</w:t>
      </w:r>
      <w:r w:rsidRPr="00407822">
        <w:rPr>
          <w:rFonts w:ascii="Helvetica" w:eastAsia="Times New Roman" w:hAnsi="Helvetica" w:cs="Helvetica"/>
          <w:color w:val="000000"/>
          <w:sz w:val="21"/>
          <w:szCs w:val="21"/>
          <w:lang w:eastAsia="it-IT"/>
        </w:rPr>
        <w:t xml:space="preserve">anno scolastico successivo a quello </w:t>
      </w:r>
      <w:proofErr w:type="spellStart"/>
      <w:r w:rsidRPr="00407822">
        <w:rPr>
          <w:rFonts w:ascii="Helvetica" w:eastAsia="Times New Roman" w:hAnsi="Helvetica" w:cs="Helvetica"/>
          <w:color w:val="000000"/>
          <w:sz w:val="21"/>
          <w:szCs w:val="21"/>
          <w:lang w:eastAsia="it-IT"/>
        </w:rPr>
        <w:t>dell</w:t>
      </w:r>
      <w:proofErr w:type="spellEnd"/>
      <w:r w:rsidRPr="00407822">
        <w:rPr>
          <w:rFonts w:ascii="Helvetica" w:eastAsia="Times New Roman" w:hAnsi="Helvetica" w:cs="Helvetica"/>
          <w:color w:val="000000"/>
          <w:sz w:val="21"/>
          <w:szCs w:val="21"/>
          <w:rtl/>
          <w:lang w:eastAsia="it-IT"/>
        </w:rPr>
        <w:t>’</w:t>
      </w:r>
      <w:r w:rsidRPr="00407822">
        <w:rPr>
          <w:rFonts w:ascii="Helvetica" w:eastAsia="Times New Roman" w:hAnsi="Helvetica" w:cs="Helvetica"/>
          <w:color w:val="000000"/>
          <w:sz w:val="21"/>
          <w:szCs w:val="21"/>
          <w:lang w:eastAsia="it-IT"/>
        </w:rPr>
        <w:t>incarico e confermati in ruolo nella medesima scuola in cui hanno prestato servizio a tempo determinato.</w:t>
      </w:r>
    </w:p>
    <w:p w14:paraId="18F30D86"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Chi non supera il percorso di formazione e periodo annuale di prova</w:t>
      </w:r>
      <w:r w:rsidRPr="00407822">
        <w:rPr>
          <w:rFonts w:ascii="Helvetica" w:eastAsia="Times New Roman" w:hAnsi="Helvetica" w:cs="Helvetica"/>
          <w:color w:val="000000"/>
          <w:sz w:val="21"/>
          <w:szCs w:val="21"/>
          <w:lang w:eastAsia="it-IT"/>
        </w:rPr>
        <w:t xml:space="preserve"> può ripeterlo una volta (articolo 1, comma 119, della legge 13 luglio 2015, n. 107), secondo le modalità previste </w:t>
      </w:r>
      <w:proofErr w:type="spellStart"/>
      <w:r w:rsidRPr="00407822">
        <w:rPr>
          <w:rFonts w:ascii="Helvetica" w:eastAsia="Times New Roman" w:hAnsi="Helvetica" w:cs="Helvetica"/>
          <w:color w:val="000000"/>
          <w:sz w:val="21"/>
          <w:szCs w:val="21"/>
          <w:lang w:eastAsia="it-IT"/>
        </w:rPr>
        <w:t>dall</w:t>
      </w:r>
      <w:proofErr w:type="spellEnd"/>
      <w:r w:rsidRPr="00407822">
        <w:rPr>
          <w:rFonts w:ascii="Helvetica" w:eastAsia="Times New Roman" w:hAnsi="Helvetica" w:cs="Helvetica"/>
          <w:color w:val="000000"/>
          <w:sz w:val="21"/>
          <w:szCs w:val="21"/>
          <w:rtl/>
          <w:lang w:eastAsia="it-IT"/>
        </w:rPr>
        <w:t>’</w:t>
      </w:r>
      <w:r w:rsidRPr="00407822">
        <w:rPr>
          <w:rFonts w:ascii="Helvetica" w:eastAsia="Times New Roman" w:hAnsi="Helvetica" w:cs="Helvetica"/>
          <w:color w:val="000000"/>
          <w:sz w:val="21"/>
          <w:szCs w:val="21"/>
          <w:lang w:eastAsia="it-IT"/>
        </w:rPr>
        <w:t>articolo 14, comma 3 e seguenti, del DM 226 del 2022.</w:t>
      </w:r>
    </w:p>
    <w:p w14:paraId="3F5A9264"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lastRenderedPageBreak/>
        <w:t>Chi rinvia il percorso di formazione e periodo annuale di prova</w:t>
      </w:r>
      <w:r w:rsidRPr="00407822">
        <w:rPr>
          <w:rFonts w:ascii="Helvetica" w:eastAsia="Times New Roman" w:hAnsi="Helvetica" w:cs="Helvetica"/>
          <w:color w:val="000000"/>
          <w:sz w:val="21"/>
          <w:szCs w:val="21"/>
          <w:lang w:eastAsia="it-IT"/>
        </w:rPr>
        <w:t xml:space="preserve"> per giustificati motivi mantiene il contratto a tempo determinato </w:t>
      </w:r>
      <w:proofErr w:type="spellStart"/>
      <w:r w:rsidRPr="00407822">
        <w:rPr>
          <w:rFonts w:ascii="Helvetica" w:eastAsia="Times New Roman" w:hAnsi="Helvetica" w:cs="Helvetica"/>
          <w:color w:val="000000"/>
          <w:sz w:val="21"/>
          <w:szCs w:val="21"/>
          <w:lang w:eastAsia="it-IT"/>
        </w:rPr>
        <w:t>nell</w:t>
      </w:r>
      <w:proofErr w:type="spellEnd"/>
      <w:r w:rsidRPr="00407822">
        <w:rPr>
          <w:rFonts w:ascii="Helvetica" w:eastAsia="Times New Roman" w:hAnsi="Helvetica" w:cs="Helvetica"/>
          <w:color w:val="000000"/>
          <w:sz w:val="21"/>
          <w:szCs w:val="21"/>
          <w:rtl/>
          <w:lang w:eastAsia="it-IT"/>
        </w:rPr>
        <w:t>’</w:t>
      </w:r>
      <w:r w:rsidRPr="00407822">
        <w:rPr>
          <w:rFonts w:ascii="Helvetica" w:eastAsia="Times New Roman" w:hAnsi="Helvetica" w:cs="Helvetica"/>
          <w:color w:val="000000"/>
          <w:sz w:val="21"/>
          <w:szCs w:val="21"/>
          <w:lang w:eastAsia="it-IT"/>
        </w:rPr>
        <w:t>istituzione scolastica in cui ha svolto l</w:t>
      </w:r>
      <w:r w:rsidRPr="00407822">
        <w:rPr>
          <w:rFonts w:ascii="Helvetica" w:eastAsia="Times New Roman" w:hAnsi="Helvetica" w:cs="Helvetica"/>
          <w:color w:val="000000"/>
          <w:sz w:val="21"/>
          <w:szCs w:val="21"/>
          <w:rtl/>
          <w:lang w:eastAsia="it-IT"/>
        </w:rPr>
        <w:t>’</w:t>
      </w:r>
      <w:r w:rsidRPr="00407822">
        <w:rPr>
          <w:rFonts w:ascii="Helvetica" w:eastAsia="Times New Roman" w:hAnsi="Helvetica" w:cs="Helvetica"/>
          <w:color w:val="000000"/>
          <w:sz w:val="21"/>
          <w:szCs w:val="21"/>
          <w:lang w:eastAsia="it-IT"/>
        </w:rPr>
        <w:t>incarico e reitera il percorso.</w:t>
      </w:r>
      <w:r w:rsidRPr="00407822">
        <w:rPr>
          <w:rFonts w:ascii="Helvetica" w:eastAsia="Times New Roman" w:hAnsi="Helvetica" w:cs="Helvetica"/>
          <w:color w:val="000000"/>
          <w:sz w:val="21"/>
          <w:szCs w:val="21"/>
          <w:lang w:eastAsia="it-IT"/>
        </w:rPr>
        <w:br/>
        <w:t> </w:t>
      </w:r>
    </w:p>
    <w:p w14:paraId="10AECF76"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Chi non supera la prova disciplinare</w:t>
      </w:r>
      <w:r w:rsidRPr="00407822">
        <w:rPr>
          <w:rFonts w:ascii="Helvetica" w:eastAsia="Times New Roman" w:hAnsi="Helvetica" w:cs="Helvetica"/>
          <w:color w:val="000000"/>
          <w:sz w:val="21"/>
          <w:szCs w:val="21"/>
          <w:lang w:eastAsia="it-IT"/>
        </w:rPr>
        <w:t> decade dalla procedura e non viene assunto a tempo indeterminato. In questo caso si viene esclusi dalla graduatoria non vi si può accedere più neanche in diversa regione. Il servizio prestato viene valutato quale incarico a tempo determinato.</w:t>
      </w:r>
      <w:r w:rsidRPr="00407822">
        <w:rPr>
          <w:rFonts w:ascii="Helvetica" w:eastAsia="Times New Roman" w:hAnsi="Helvetica" w:cs="Helvetica"/>
          <w:color w:val="000000"/>
          <w:sz w:val="21"/>
          <w:szCs w:val="21"/>
          <w:lang w:eastAsia="it-IT"/>
        </w:rPr>
        <w:br/>
        <w:t> </w:t>
      </w:r>
    </w:p>
    <w:p w14:paraId="1D59A023"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La prova disciplinare: </w:t>
      </w:r>
      <w:r w:rsidRPr="00407822">
        <w:rPr>
          <w:rFonts w:ascii="Helvetica" w:eastAsia="Times New Roman" w:hAnsi="Helvetica" w:cs="Helvetica"/>
          <w:color w:val="000000"/>
          <w:sz w:val="21"/>
          <w:szCs w:val="21"/>
          <w:lang w:eastAsia="it-IT"/>
        </w:rPr>
        <w:t xml:space="preserve">consiste in un colloquio di idoneità che verifica, in relazione ai programmi vigenti dei concorsi ordinari relativi ai posti di sostegno, il possesso e corretto esercizio, in relazione </w:t>
      </w:r>
      <w:proofErr w:type="spellStart"/>
      <w:r w:rsidRPr="00407822">
        <w:rPr>
          <w:rFonts w:ascii="Helvetica" w:eastAsia="Times New Roman" w:hAnsi="Helvetica" w:cs="Helvetica"/>
          <w:color w:val="000000"/>
          <w:sz w:val="21"/>
          <w:szCs w:val="21"/>
          <w:lang w:eastAsia="it-IT"/>
        </w:rPr>
        <w:t>all</w:t>
      </w:r>
      <w:proofErr w:type="spellEnd"/>
      <w:r w:rsidRPr="00407822">
        <w:rPr>
          <w:rFonts w:ascii="Helvetica" w:eastAsia="Times New Roman" w:hAnsi="Helvetica" w:cs="Helvetica"/>
          <w:color w:val="000000"/>
          <w:sz w:val="21"/>
          <w:szCs w:val="21"/>
          <w:rtl/>
          <w:lang w:eastAsia="it-IT"/>
        </w:rPr>
        <w:t>’</w:t>
      </w:r>
      <w:r w:rsidRPr="00407822">
        <w:rPr>
          <w:rFonts w:ascii="Helvetica" w:eastAsia="Times New Roman" w:hAnsi="Helvetica" w:cs="Helvetica"/>
          <w:color w:val="000000"/>
          <w:sz w:val="21"/>
          <w:szCs w:val="21"/>
          <w:lang w:eastAsia="it-IT"/>
        </w:rPr>
        <w:t>esperienza maturata dal docente e validata dal positivo superamento del percorso di formazione e periodo annuale di prova, delle conoscenze e competenze finalizzate a una progettazione educativa individualizzata. Verifica la capacità di elaborare una progettazione educativa che rispetti ritmi e stili di apprendimento ed esigenze di ciascun alunno. Verifica la capacità di elaborare, in stretta collaborazione con gli altri membri del consiglio di classe, interventi equilibrati fra apprendimento e socializzazione e la piena valorizzazione delle capacità e delle potenzialità possedute dal soggetto in formazione. La prova valuta, altresì, la capacità di comprensione e conversazione in lingua inglese almeno al livello B2 del quadro Comune Europeo di Riferimento per le lingue.</w:t>
      </w:r>
    </w:p>
    <w:p w14:paraId="12611005"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Sedi e orario di svolgimento della prova:</w:t>
      </w:r>
      <w:r w:rsidRPr="00407822">
        <w:rPr>
          <w:rFonts w:ascii="Helvetica" w:eastAsia="Times New Roman" w:hAnsi="Helvetica" w:cs="Helvetica"/>
          <w:color w:val="000000"/>
          <w:sz w:val="21"/>
          <w:szCs w:val="21"/>
          <w:lang w:eastAsia="it-IT"/>
        </w:rPr>
        <w:t> saranno comunicati dagli Uffici Scolastici Regionali almeno dieci giorni prima della data di svolgimento, tramite avviso pubblicato nei rispettivi albi e siti internet.</w:t>
      </w:r>
    </w:p>
    <w:p w14:paraId="30B05739"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b/>
          <w:bCs/>
          <w:color w:val="000000"/>
          <w:sz w:val="21"/>
          <w:szCs w:val="21"/>
          <w:lang w:eastAsia="it-IT"/>
        </w:rPr>
        <w:t>Quadri di riferimento per la valutazione della prova disciplinare:</w:t>
      </w:r>
      <w:r w:rsidRPr="00407822">
        <w:rPr>
          <w:rFonts w:ascii="Helvetica" w:eastAsia="Times New Roman" w:hAnsi="Helvetica" w:cs="Helvetica"/>
          <w:color w:val="000000"/>
          <w:sz w:val="21"/>
          <w:szCs w:val="21"/>
          <w:lang w:eastAsia="it-IT"/>
        </w:rPr>
        <w:t xml:space="preserve"> sono quelli redatti dalla Commissione nazionale costituita con decreto del Ministro 5 maggio 2022, n. 109, per la valutazione della prova di cui </w:t>
      </w:r>
      <w:proofErr w:type="spellStart"/>
      <w:r w:rsidRPr="00407822">
        <w:rPr>
          <w:rFonts w:ascii="Helvetica" w:eastAsia="Times New Roman" w:hAnsi="Helvetica" w:cs="Helvetica"/>
          <w:color w:val="000000"/>
          <w:sz w:val="21"/>
          <w:szCs w:val="21"/>
          <w:lang w:eastAsia="it-IT"/>
        </w:rPr>
        <w:t>all</w:t>
      </w:r>
      <w:proofErr w:type="spellEnd"/>
      <w:r w:rsidRPr="00407822">
        <w:rPr>
          <w:rFonts w:ascii="Helvetica" w:eastAsia="Times New Roman" w:hAnsi="Helvetica" w:cs="Helvetica"/>
          <w:color w:val="000000"/>
          <w:sz w:val="21"/>
          <w:szCs w:val="21"/>
          <w:rtl/>
          <w:lang w:eastAsia="it-IT"/>
        </w:rPr>
        <w:t>’</w:t>
      </w:r>
      <w:r w:rsidRPr="00407822">
        <w:rPr>
          <w:rFonts w:ascii="Helvetica" w:eastAsia="Times New Roman" w:hAnsi="Helvetica" w:cs="Helvetica"/>
          <w:color w:val="000000"/>
          <w:sz w:val="21"/>
          <w:szCs w:val="21"/>
          <w:lang w:eastAsia="it-IT"/>
        </w:rPr>
        <w:t>articolo 8, comma 1, lettera b), del decreto del Ministro 30 luglio 2021, n. 242.</w:t>
      </w:r>
    </w:p>
    <w:p w14:paraId="780F0384" w14:textId="77777777" w:rsidR="00407822" w:rsidRPr="00407822" w:rsidRDefault="00407822" w:rsidP="00407822">
      <w:pPr>
        <w:shd w:val="clear" w:color="auto" w:fill="FFFFFF"/>
        <w:spacing w:after="0" w:line="240" w:lineRule="auto"/>
        <w:outlineLvl w:val="4"/>
        <w:rPr>
          <w:rFonts w:ascii="Helvetica" w:eastAsia="Times New Roman" w:hAnsi="Helvetica" w:cs="Helvetica"/>
          <w:b/>
          <w:bCs/>
          <w:color w:val="000000"/>
          <w:sz w:val="20"/>
          <w:szCs w:val="20"/>
          <w:lang w:eastAsia="it-IT"/>
        </w:rPr>
      </w:pPr>
      <w:r w:rsidRPr="00407822">
        <w:rPr>
          <w:rFonts w:ascii="Helvetica" w:eastAsia="Times New Roman" w:hAnsi="Helvetica" w:cs="Helvetica"/>
          <w:b/>
          <w:bCs/>
          <w:color w:val="000000"/>
          <w:sz w:val="20"/>
          <w:szCs w:val="20"/>
          <w:lang w:eastAsia="it-IT"/>
        </w:rPr>
        <w:t>Le nostre osservazioni:</w:t>
      </w:r>
    </w:p>
    <w:p w14:paraId="7306C8AD"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color w:val="000000"/>
          <w:sz w:val="21"/>
          <w:szCs w:val="21"/>
          <w:lang w:eastAsia="it-IT"/>
        </w:rPr>
        <w:t>Abbiamo espresso condivisione rispetto al fatto che ci sia una procedura semplificata per l’assunzione dei docenti specializzati che potrà dare una chance di assunzione anche agli specializzati dell’VIII ciclo TFA (oltre che a coloro che sinora non sono rientrati nelle assunzioni). Come FLC CGIL siamo stati fautori della proroga al 2022/23 delle assunzioni da GPS 1 fascia, sperimentate per la prima volta lo scorso anno e abbiamo rilevato come anche quest'anno il provvedimento abbia prodotto effetti positivi in termini di assunzioni di docenti specializzati e quindi in termini di qualità dell'inclusione scolastica.</w:t>
      </w:r>
    </w:p>
    <w:p w14:paraId="664D7A13"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color w:val="000000"/>
          <w:sz w:val="21"/>
          <w:szCs w:val="21"/>
          <w:lang w:eastAsia="it-IT"/>
        </w:rPr>
        <w:t>Di fatto questa procedura definisce la costituzione di graduatorie ad esaurimento da cui si recluta sui posti di sostegno, che vengono aggiornate ogni due anni.</w:t>
      </w:r>
    </w:p>
    <w:p w14:paraId="45511407" w14:textId="77777777" w:rsidR="00407822" w:rsidRPr="00407822" w:rsidRDefault="00407822" w:rsidP="00407822">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407822">
        <w:rPr>
          <w:rFonts w:ascii="Helvetica" w:eastAsia="Times New Roman" w:hAnsi="Helvetica" w:cs="Helvetica"/>
          <w:color w:val="000000"/>
          <w:sz w:val="21"/>
          <w:szCs w:val="21"/>
          <w:lang w:eastAsia="it-IT"/>
        </w:rPr>
        <w:t>Vista la situazione ancora incerta dal punto di vista della pandemia abbiamo chiesto al Ministero di riconoscere nuovamente la possibilità di sostenere la prova finale a distanza, ma su questo abbiamo rilevato una incomprensibile chiusura.</w:t>
      </w:r>
    </w:p>
    <w:sectPr w:rsidR="00407822" w:rsidRPr="004078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B1F82"/>
    <w:multiLevelType w:val="multilevel"/>
    <w:tmpl w:val="0F20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73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22"/>
    <w:rsid w:val="00407822"/>
    <w:rsid w:val="00820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9848"/>
  <w15:chartTrackingRefBased/>
  <w15:docId w15:val="{89D015AE-C1F0-4060-9641-CA3DDCCF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44008">
      <w:bodyDiv w:val="1"/>
      <w:marLeft w:val="0"/>
      <w:marRight w:val="0"/>
      <w:marTop w:val="0"/>
      <w:marBottom w:val="0"/>
      <w:divBdr>
        <w:top w:val="none" w:sz="0" w:space="0" w:color="auto"/>
        <w:left w:val="none" w:sz="0" w:space="0" w:color="auto"/>
        <w:bottom w:val="none" w:sz="0" w:space="0" w:color="auto"/>
        <w:right w:val="none" w:sz="0" w:space="0" w:color="auto"/>
      </w:divBdr>
      <w:divsChild>
        <w:div w:id="126165100">
          <w:marLeft w:val="0"/>
          <w:marRight w:val="0"/>
          <w:marTop w:val="75"/>
          <w:marBottom w:val="0"/>
          <w:divBdr>
            <w:top w:val="none" w:sz="0" w:space="0" w:color="auto"/>
            <w:left w:val="none" w:sz="0" w:space="0" w:color="auto"/>
            <w:bottom w:val="none" w:sz="0" w:space="0" w:color="auto"/>
            <w:right w:val="none" w:sz="0" w:space="0" w:color="auto"/>
          </w:divBdr>
          <w:divsChild>
            <w:div w:id="1702632493">
              <w:marLeft w:val="0"/>
              <w:marRight w:val="0"/>
              <w:marTop w:val="0"/>
              <w:marBottom w:val="0"/>
              <w:divBdr>
                <w:top w:val="none" w:sz="0" w:space="0" w:color="auto"/>
                <w:left w:val="none" w:sz="0" w:space="0" w:color="auto"/>
                <w:bottom w:val="none" w:sz="0" w:space="0" w:color="auto"/>
                <w:right w:val="none" w:sz="0" w:space="0" w:color="auto"/>
              </w:divBdr>
              <w:divsChild>
                <w:div w:id="95056829">
                  <w:marLeft w:val="0"/>
                  <w:marRight w:val="0"/>
                  <w:marTop w:val="0"/>
                  <w:marBottom w:val="0"/>
                  <w:divBdr>
                    <w:top w:val="none" w:sz="0" w:space="0" w:color="auto"/>
                    <w:left w:val="none" w:sz="0" w:space="0" w:color="auto"/>
                    <w:bottom w:val="none" w:sz="0" w:space="0" w:color="auto"/>
                    <w:right w:val="none" w:sz="0" w:space="0" w:color="auto"/>
                  </w:divBdr>
                  <w:divsChild>
                    <w:div w:id="505897601">
                      <w:marLeft w:val="0"/>
                      <w:marRight w:val="0"/>
                      <w:marTop w:val="0"/>
                      <w:marBottom w:val="0"/>
                      <w:divBdr>
                        <w:top w:val="none" w:sz="0" w:space="0" w:color="auto"/>
                        <w:left w:val="none" w:sz="0" w:space="0" w:color="auto"/>
                        <w:bottom w:val="none" w:sz="0" w:space="0" w:color="auto"/>
                        <w:right w:val="none" w:sz="0" w:space="0" w:color="auto"/>
                      </w:divBdr>
                    </w:div>
                  </w:divsChild>
                </w:div>
                <w:div w:id="1363095496">
                  <w:marLeft w:val="0"/>
                  <w:marRight w:val="0"/>
                  <w:marTop w:val="0"/>
                  <w:marBottom w:val="0"/>
                  <w:divBdr>
                    <w:top w:val="none" w:sz="0" w:space="0" w:color="auto"/>
                    <w:left w:val="none" w:sz="0" w:space="0" w:color="auto"/>
                    <w:bottom w:val="none" w:sz="0" w:space="0" w:color="auto"/>
                    <w:right w:val="none" w:sz="0" w:space="0" w:color="auto"/>
                  </w:divBdr>
                </w:div>
                <w:div w:id="1318873508">
                  <w:marLeft w:val="0"/>
                  <w:marRight w:val="0"/>
                  <w:marTop w:val="300"/>
                  <w:marBottom w:val="300"/>
                  <w:divBdr>
                    <w:top w:val="none" w:sz="0" w:space="0" w:color="auto"/>
                    <w:left w:val="none" w:sz="0" w:space="0" w:color="auto"/>
                    <w:bottom w:val="none" w:sz="0" w:space="0" w:color="auto"/>
                    <w:right w:val="none" w:sz="0" w:space="0" w:color="auto"/>
                  </w:divBdr>
                  <w:divsChild>
                    <w:div w:id="2473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2714">
          <w:marLeft w:val="0"/>
          <w:marRight w:val="0"/>
          <w:marTop w:val="0"/>
          <w:marBottom w:val="0"/>
          <w:divBdr>
            <w:top w:val="none" w:sz="0" w:space="0" w:color="auto"/>
            <w:left w:val="none" w:sz="0" w:space="0" w:color="auto"/>
            <w:bottom w:val="none" w:sz="0" w:space="0" w:color="auto"/>
            <w:right w:val="none" w:sz="0" w:space="0" w:color="auto"/>
          </w:divBdr>
          <w:divsChild>
            <w:div w:id="12655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lcgil.it/leggi-normative/documenti/ordinanze-ministeriali/ordinanza-ministeriale-112-del-6-maggio-2022-procedure-aggiornamento-graduatorie-provinciali-e-di-istituto-personale-docente-ed-educativo-allegati.flc" TargetMode="External"/><Relationship Id="rId3" Type="http://schemas.openxmlformats.org/officeDocument/2006/relationships/settings" Target="settings.xml"/><Relationship Id="rId7" Type="http://schemas.openxmlformats.org/officeDocument/2006/relationships/hyperlink" Target="https://www.normattiva.it/atto/caricaDettaglioAtto?atto.dataPubblicazioneGazzetta=2020-12-30&amp;atto.codiceRedazionale=20G00202&amp;atto.articolo.numero=0&amp;atto.articolo.sottoArticolo=1&amp;atto.articolo.sottoArticolo1=10&amp;qId=fc189685-70d7-41a0-9b10-370f94fe2287&amp;tabID=0.5958357488331728&amp;title=lbl.dettaglioAt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flcgil.it/leggi-normative/documenti/decreti-ministeriali/decreto-ministeriale-226-del-16-agosto-2022-regolamentazione-nuovo-percorso-formazione-prova-personale-docente-ed-educativo.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2022-09-29T07:21:00Z</dcterms:created>
  <dcterms:modified xsi:type="dcterms:W3CDTF">2022-09-29T07:22:00Z</dcterms:modified>
</cp:coreProperties>
</file>