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E414" w14:textId="77777777" w:rsidR="003E58C7" w:rsidRPr="003E58C7" w:rsidRDefault="003E58C7" w:rsidP="003E58C7">
      <w:pPr>
        <w:shd w:val="clear" w:color="auto" w:fill="FFFFFF"/>
        <w:spacing w:before="150" w:after="150" w:line="240" w:lineRule="auto"/>
        <w:outlineLvl w:val="1"/>
        <w:rPr>
          <w:rFonts w:ascii="Titillium Web" w:eastAsia="Times New Roman" w:hAnsi="Titillium Web" w:cs="Times New Roman"/>
          <w:color w:val="222222"/>
          <w:spacing w:val="11"/>
          <w:sz w:val="39"/>
          <w:szCs w:val="39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39"/>
          <w:szCs w:val="39"/>
          <w:lang w:eastAsia="it-IT"/>
        </w:rPr>
        <w:t>INDIRE seleziona dieci scuole con cui sperimentare modelli di leadership condivisa</w:t>
      </w:r>
    </w:p>
    <w:p w14:paraId="65C28F6E" w14:textId="77777777" w:rsidR="003E58C7" w:rsidRPr="003E58C7" w:rsidRDefault="003E58C7" w:rsidP="003E58C7">
      <w:pPr>
        <w:shd w:val="clear" w:color="auto" w:fill="FFFFFF"/>
        <w:spacing w:after="75" w:line="240" w:lineRule="auto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hyperlink r:id="rId5" w:history="1">
        <w:r w:rsidRPr="003E58C7">
          <w:rPr>
            <w:rFonts w:ascii="Titillium Web" w:eastAsia="Times New Roman" w:hAnsi="Titillium Web" w:cs="Times New Roman"/>
            <w:b/>
            <w:bCs/>
            <w:color w:val="444444"/>
            <w:spacing w:val="11"/>
            <w:sz w:val="17"/>
            <w:szCs w:val="17"/>
            <w:u w:val="single"/>
            <w:bdr w:val="none" w:sz="0" w:space="0" w:color="auto" w:frame="1"/>
            <w:lang w:eastAsia="it-IT"/>
          </w:rPr>
          <w:t xml:space="preserve">Learning Leadership for </w:t>
        </w:r>
        <w:proofErr w:type="spellStart"/>
        <w:r w:rsidRPr="003E58C7">
          <w:rPr>
            <w:rFonts w:ascii="Titillium Web" w:eastAsia="Times New Roman" w:hAnsi="Titillium Web" w:cs="Times New Roman"/>
            <w:b/>
            <w:bCs/>
            <w:color w:val="444444"/>
            <w:spacing w:val="11"/>
            <w:sz w:val="17"/>
            <w:szCs w:val="17"/>
            <w:u w:val="single"/>
            <w:bdr w:val="none" w:sz="0" w:space="0" w:color="auto" w:frame="1"/>
            <w:lang w:eastAsia="it-IT"/>
          </w:rPr>
          <w:t>Change</w:t>
        </w:r>
        <w:proofErr w:type="spellEnd"/>
      </w:hyperlink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</w:t>
      </w:r>
      <w:hyperlink r:id="rId6" w:history="1">
        <w:r w:rsidRPr="003E58C7">
          <w:rPr>
            <w:rFonts w:ascii="Titillium Web" w:eastAsia="Times New Roman" w:hAnsi="Titillium Web" w:cs="Times New Roman"/>
            <w:b/>
            <w:bCs/>
            <w:color w:val="444444"/>
            <w:spacing w:val="11"/>
            <w:sz w:val="17"/>
            <w:szCs w:val="17"/>
            <w:u w:val="single"/>
            <w:bdr w:val="none" w:sz="0" w:space="0" w:color="auto" w:frame="1"/>
            <w:lang w:eastAsia="it-IT"/>
          </w:rPr>
          <w:t>miglioramento</w:t>
        </w:r>
      </w:hyperlink>
    </w:p>
    <w:p w14:paraId="740569B1" w14:textId="270A1015" w:rsidR="003E58C7" w:rsidRPr="003E58C7" w:rsidRDefault="003E58C7" w:rsidP="003E58C7">
      <w:pPr>
        <w:shd w:val="clear" w:color="auto" w:fill="FFFFFF"/>
        <w:spacing w:after="150" w:line="360" w:lineRule="atLeast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 xml:space="preserve"> </w:t>
      </w:r>
    </w:p>
    <w:p w14:paraId="0EB49960" w14:textId="77777777" w:rsidR="003E58C7" w:rsidRPr="003E58C7" w:rsidRDefault="003E58C7" w:rsidP="003E58C7">
      <w:pPr>
        <w:shd w:val="clear" w:color="auto" w:fill="FFFFFF"/>
        <w:spacing w:after="0" w:line="330" w:lineRule="atLeast"/>
        <w:textAlignment w:val="top"/>
        <w:rPr>
          <w:rFonts w:ascii="Titillium Web" w:eastAsia="Times New Roman" w:hAnsi="Titillium Web" w:cs="Times New Roman"/>
          <w:color w:val="222222"/>
          <w:spacing w:val="11"/>
          <w:sz w:val="18"/>
          <w:szCs w:val="18"/>
          <w:lang w:eastAsia="it-IT"/>
        </w:rPr>
      </w:pPr>
      <w:r w:rsidRPr="003E58C7">
        <w:rPr>
          <w:rFonts w:ascii="Titillium Web" w:eastAsia="Times New Roman" w:hAnsi="Titillium Web" w:cs="Times New Roman"/>
          <w:noProof/>
          <w:color w:val="222222"/>
          <w:spacing w:val="11"/>
          <w:sz w:val="18"/>
          <w:szCs w:val="18"/>
          <w:lang w:eastAsia="it-IT"/>
        </w:rPr>
        <w:drawing>
          <wp:inline distT="0" distB="0" distL="0" distR="0" wp14:anchorId="47EDC1CC" wp14:editId="0730874E">
            <wp:extent cx="9525000" cy="6330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CA4E8" w14:textId="77777777" w:rsidR="003E58C7" w:rsidRPr="003E58C7" w:rsidRDefault="003E58C7" w:rsidP="003E58C7">
      <w:pPr>
        <w:shd w:val="clear" w:color="auto" w:fill="FFFFFF"/>
        <w:spacing w:after="150" w:line="360" w:lineRule="atLeast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È online </w:t>
      </w:r>
      <w:hyperlink r:id="rId8" w:tgtFrame="_blank" w:history="1">
        <w:r w:rsidRPr="003E58C7">
          <w:rPr>
            <w:rFonts w:ascii="Titillium Web" w:eastAsia="Times New Roman" w:hAnsi="Titillium Web" w:cs="Times New Roman"/>
            <w:color w:val="005F98"/>
            <w:spacing w:val="11"/>
            <w:sz w:val="26"/>
            <w:szCs w:val="26"/>
            <w:u w:val="single"/>
            <w:lang w:eastAsia="it-IT"/>
          </w:rPr>
          <w:t>l’avviso per la selezione</w:t>
        </w:r>
      </w:hyperlink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su base nazionale di </w:t>
      </w:r>
      <w:r w:rsidRPr="003E58C7">
        <w:rPr>
          <w:rFonts w:ascii="Titillium Web" w:eastAsia="Times New Roman" w:hAnsi="Titillium Web" w:cs="Times New Roman"/>
          <w:b/>
          <w:bCs/>
          <w:color w:val="222222"/>
          <w:spacing w:val="11"/>
          <w:sz w:val="26"/>
          <w:szCs w:val="26"/>
          <w:lang w:eastAsia="it-IT"/>
        </w:rPr>
        <w:t>10 scuole di ogni ordine e grado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nell’ambito delle attività previste dal progetto </w:t>
      </w:r>
      <w:hyperlink r:id="rId9" w:tgtFrame="_blank" w:history="1">
        <w:r w:rsidRPr="003E58C7">
          <w:rPr>
            <w:rFonts w:ascii="Titillium Web" w:eastAsia="Times New Roman" w:hAnsi="Titillium Web" w:cs="Times New Roman"/>
            <w:i/>
            <w:iCs/>
            <w:color w:val="005F98"/>
            <w:spacing w:val="11"/>
            <w:sz w:val="26"/>
            <w:szCs w:val="26"/>
            <w:lang w:eastAsia="it-IT"/>
          </w:rPr>
          <w:t>Leadership condivisa per la scuola che apprende</w:t>
        </w:r>
      </w:hyperlink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.</w:t>
      </w:r>
    </w:p>
    <w:p w14:paraId="7FFF387C" w14:textId="77777777" w:rsidR="003E58C7" w:rsidRPr="003E58C7" w:rsidRDefault="003E58C7" w:rsidP="003E58C7">
      <w:pPr>
        <w:shd w:val="clear" w:color="auto" w:fill="FFFFFF"/>
        <w:spacing w:after="150" w:line="360" w:lineRule="atLeast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Il progetto è finalizzato a raggiungere </w:t>
      </w:r>
      <w:r w:rsidRPr="003E58C7">
        <w:rPr>
          <w:rFonts w:ascii="Titillium Web" w:eastAsia="Times New Roman" w:hAnsi="Titillium Web" w:cs="Times New Roman"/>
          <w:b/>
          <w:bCs/>
          <w:color w:val="222222"/>
          <w:spacing w:val="11"/>
          <w:sz w:val="26"/>
          <w:szCs w:val="26"/>
          <w:lang w:eastAsia="it-IT"/>
        </w:rPr>
        <w:t>tre obiettivi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principali:</w:t>
      </w:r>
    </w:p>
    <w:p w14:paraId="7D26F5F0" w14:textId="77777777" w:rsidR="003E58C7" w:rsidRPr="003E58C7" w:rsidRDefault="003E58C7" w:rsidP="003E5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lastRenderedPageBreak/>
        <w:t>Sperimentare un modello di </w:t>
      </w:r>
      <w:r w:rsidRPr="003E58C7">
        <w:rPr>
          <w:rFonts w:ascii="Titillium Web" w:eastAsia="Times New Roman" w:hAnsi="Titillium Web" w:cs="Times New Roman"/>
          <w:i/>
          <w:iCs/>
          <w:color w:val="222222"/>
          <w:spacing w:val="11"/>
          <w:sz w:val="26"/>
          <w:szCs w:val="26"/>
          <w:lang w:eastAsia="it-IT"/>
        </w:rPr>
        <w:t>governance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scolastica partecipata attraverso il riconoscimento, la valorizzazione e la diffusione di pratiche di </w:t>
      </w:r>
      <w:r w:rsidRPr="003E58C7">
        <w:rPr>
          <w:rFonts w:ascii="Titillium Web" w:eastAsia="Times New Roman" w:hAnsi="Titillium Web" w:cs="Times New Roman"/>
          <w:i/>
          <w:iCs/>
          <w:color w:val="222222"/>
          <w:spacing w:val="11"/>
          <w:sz w:val="26"/>
          <w:szCs w:val="26"/>
          <w:lang w:eastAsia="it-IT"/>
        </w:rPr>
        <w:t>leadership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condivisa.</w:t>
      </w:r>
    </w:p>
    <w:p w14:paraId="5AB5F2FE" w14:textId="77777777" w:rsidR="003E58C7" w:rsidRPr="003E58C7" w:rsidRDefault="003E58C7" w:rsidP="003E5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Promuovere ruoli non formali di </w:t>
      </w:r>
      <w:r w:rsidRPr="003E58C7">
        <w:rPr>
          <w:rFonts w:ascii="Titillium Web" w:eastAsia="Times New Roman" w:hAnsi="Titillium Web" w:cs="Times New Roman"/>
          <w:i/>
          <w:iCs/>
          <w:color w:val="222222"/>
          <w:spacing w:val="11"/>
          <w:sz w:val="26"/>
          <w:szCs w:val="26"/>
          <w:lang w:eastAsia="it-IT"/>
        </w:rPr>
        <w:t>leadership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intermedia coinvolgendo anche studenti, genitori e </w:t>
      </w:r>
      <w:r w:rsidRPr="003E58C7">
        <w:rPr>
          <w:rFonts w:ascii="Titillium Web" w:eastAsia="Times New Roman" w:hAnsi="Titillium Web" w:cs="Times New Roman"/>
          <w:i/>
          <w:iCs/>
          <w:color w:val="222222"/>
          <w:spacing w:val="11"/>
          <w:sz w:val="26"/>
          <w:szCs w:val="26"/>
          <w:lang w:eastAsia="it-IT"/>
        </w:rPr>
        <w:t>stakeholder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del territorio. In particolare, si vogliono promuovere azioni di </w:t>
      </w:r>
      <w:proofErr w:type="spellStart"/>
      <w:r w:rsidRPr="003E58C7">
        <w:rPr>
          <w:rFonts w:ascii="Titillium Web" w:eastAsia="Times New Roman" w:hAnsi="Titillium Web" w:cs="Times New Roman"/>
          <w:i/>
          <w:iCs/>
          <w:color w:val="222222"/>
          <w:spacing w:val="11"/>
          <w:sz w:val="26"/>
          <w:szCs w:val="26"/>
          <w:lang w:eastAsia="it-IT"/>
        </w:rPr>
        <w:t>youth</w:t>
      </w:r>
      <w:proofErr w:type="spellEnd"/>
      <w:r w:rsidRPr="003E58C7">
        <w:rPr>
          <w:rFonts w:ascii="Titillium Web" w:eastAsia="Times New Roman" w:hAnsi="Titillium Web" w:cs="Times New Roman"/>
          <w:i/>
          <w:iCs/>
          <w:color w:val="222222"/>
          <w:spacing w:val="11"/>
          <w:sz w:val="26"/>
          <w:szCs w:val="26"/>
          <w:lang w:eastAsia="it-IT"/>
        </w:rPr>
        <w:t xml:space="preserve"> led,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ovvero azioni di partecipazione attiva degli studenti al processo decisionale nelle scuole.</w:t>
      </w:r>
    </w:p>
    <w:p w14:paraId="1137EF64" w14:textId="77777777" w:rsidR="003E58C7" w:rsidRPr="003E58C7" w:rsidRDefault="003E58C7" w:rsidP="003E5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Promuovere la collaborazione e la condivisione per migliorare il clima scolastico e il benessere di docenti e studenti.</w:t>
      </w:r>
    </w:p>
    <w:p w14:paraId="29E77F22" w14:textId="77777777" w:rsidR="003E58C7" w:rsidRPr="003E58C7" w:rsidRDefault="003E58C7" w:rsidP="003E58C7">
      <w:pPr>
        <w:shd w:val="clear" w:color="auto" w:fill="FFFFFF"/>
        <w:spacing w:after="150" w:line="360" w:lineRule="atLeast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Per la realizzazione di questi obiettivi, verranno individuate dieci istituzioni scolastiche interessate a sperimentare il ruolo della </w:t>
      </w:r>
      <w:r w:rsidRPr="003E58C7">
        <w:rPr>
          <w:rFonts w:ascii="Titillium Web" w:eastAsia="Times New Roman" w:hAnsi="Titillium Web" w:cs="Times New Roman"/>
          <w:i/>
          <w:iCs/>
          <w:color w:val="222222"/>
          <w:spacing w:val="11"/>
          <w:sz w:val="26"/>
          <w:szCs w:val="26"/>
          <w:lang w:eastAsia="it-IT"/>
        </w:rPr>
        <w:t>leadership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condivisa come leva del cambiamento nei</w:t>
      </w:r>
      <w:r w:rsidRPr="003E58C7">
        <w:rPr>
          <w:rFonts w:ascii="Titillium Web" w:eastAsia="Times New Roman" w:hAnsi="Titillium Web" w:cs="Times New Roman"/>
          <w:b/>
          <w:bCs/>
          <w:color w:val="222222"/>
          <w:spacing w:val="11"/>
          <w:sz w:val="26"/>
          <w:szCs w:val="26"/>
          <w:lang w:eastAsia="it-IT"/>
        </w:rPr>
        <w:t> processi di miglioramento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e di attenzione </w:t>
      </w:r>
      <w:r w:rsidRPr="003E58C7">
        <w:rPr>
          <w:rFonts w:ascii="Titillium Web" w:eastAsia="Times New Roman" w:hAnsi="Titillium Web" w:cs="Times New Roman"/>
          <w:b/>
          <w:bCs/>
          <w:color w:val="222222"/>
          <w:spacing w:val="11"/>
          <w:sz w:val="26"/>
          <w:szCs w:val="26"/>
          <w:lang w:eastAsia="it-IT"/>
        </w:rPr>
        <w:t>all’inclusione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. Per supportare tali attività, INDIRE realizzerà </w:t>
      </w:r>
      <w:r w:rsidRPr="003E58C7">
        <w:rPr>
          <w:rFonts w:ascii="Titillium Web" w:eastAsia="Times New Roman" w:hAnsi="Titillium Web" w:cs="Times New Roman"/>
          <w:b/>
          <w:bCs/>
          <w:color w:val="222222"/>
          <w:spacing w:val="11"/>
          <w:sz w:val="26"/>
          <w:szCs w:val="26"/>
          <w:lang w:eastAsia="it-IT"/>
        </w:rPr>
        <w:t>percorsi formativi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 e di intervento sul campo, progettati a partire dai risultati di ricerche nazionali e internazionali.</w:t>
      </w:r>
    </w:p>
    <w:p w14:paraId="310510D9" w14:textId="77777777" w:rsidR="003E58C7" w:rsidRPr="003E58C7" w:rsidRDefault="003E58C7" w:rsidP="003E58C7">
      <w:pPr>
        <w:shd w:val="clear" w:color="auto" w:fill="FFFFFF"/>
        <w:spacing w:after="150" w:line="360" w:lineRule="atLeast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In fase di selezione saranno </w:t>
      </w:r>
      <w:r w:rsidRPr="003E58C7">
        <w:rPr>
          <w:rFonts w:ascii="Titillium Web" w:eastAsia="Times New Roman" w:hAnsi="Titillium Web" w:cs="Times New Roman"/>
          <w:b/>
          <w:bCs/>
          <w:color w:val="222222"/>
          <w:spacing w:val="11"/>
          <w:sz w:val="26"/>
          <w:szCs w:val="26"/>
          <w:lang w:eastAsia="it-IT"/>
        </w:rPr>
        <w:t>valutati</w:t>
      </w: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 xml:space="preserve"> l’interesse alle tematiche del progetto, la motivazione all’implementazione di pratiche di leadership condivisa, la partecipazione a reti di scuole, un eventuale precedente coinvolgimento in progetti affini per tematiche e </w:t>
      </w:r>
      <w:proofErr w:type="gramStart"/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la  disponibilità</w:t>
      </w:r>
      <w:proofErr w:type="gramEnd"/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 xml:space="preserve"> a diffondere il progetto nella propria scuola.</w:t>
      </w:r>
    </w:p>
    <w:p w14:paraId="2A6411FA" w14:textId="77777777" w:rsidR="003E58C7" w:rsidRPr="003E58C7" w:rsidRDefault="003E58C7" w:rsidP="003E58C7">
      <w:pPr>
        <w:shd w:val="clear" w:color="auto" w:fill="FFFFFF"/>
        <w:spacing w:after="150" w:line="360" w:lineRule="atLeast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Le candidature dovranno essere inviate secondo le modalità e i termini </w:t>
      </w:r>
      <w:hyperlink r:id="rId10" w:tgtFrame="_blank" w:history="1">
        <w:r w:rsidRPr="003E58C7">
          <w:rPr>
            <w:rFonts w:ascii="Titillium Web" w:eastAsia="Times New Roman" w:hAnsi="Titillium Web" w:cs="Times New Roman"/>
            <w:color w:val="005F98"/>
            <w:spacing w:val="11"/>
            <w:sz w:val="26"/>
            <w:szCs w:val="26"/>
            <w:u w:val="single"/>
            <w:lang w:eastAsia="it-IT"/>
          </w:rPr>
          <w:t>indicati nell’art. 5 dell’avviso</w:t>
        </w:r>
      </w:hyperlink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. La scadenza per l’invio delle domande è fissata alle ore 23.59 del </w:t>
      </w:r>
      <w:r w:rsidRPr="003E58C7">
        <w:rPr>
          <w:rFonts w:ascii="Titillium Web" w:eastAsia="Times New Roman" w:hAnsi="Titillium Web" w:cs="Times New Roman"/>
          <w:b/>
          <w:bCs/>
          <w:color w:val="222222"/>
          <w:spacing w:val="11"/>
          <w:sz w:val="26"/>
          <w:szCs w:val="26"/>
          <w:lang w:eastAsia="it-IT"/>
        </w:rPr>
        <w:t>prossimo 3 ottobre.</w:t>
      </w:r>
    </w:p>
    <w:p w14:paraId="5C125FB0" w14:textId="77777777" w:rsidR="003E58C7" w:rsidRPr="003E58C7" w:rsidRDefault="003E58C7" w:rsidP="003E58C7">
      <w:pPr>
        <w:shd w:val="clear" w:color="auto" w:fill="FFFFFF"/>
        <w:spacing w:after="150" w:line="360" w:lineRule="atLeast"/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</w:pPr>
      <w:r w:rsidRPr="003E58C7">
        <w:rPr>
          <w:rFonts w:ascii="Titillium Web" w:eastAsia="Times New Roman" w:hAnsi="Titillium Web" w:cs="Times New Roman"/>
          <w:color w:val="222222"/>
          <w:spacing w:val="11"/>
          <w:sz w:val="26"/>
          <w:szCs w:val="26"/>
          <w:lang w:eastAsia="it-IT"/>
        </w:rPr>
        <w:t>Per informazioni: </w:t>
      </w:r>
      <w:hyperlink r:id="rId11" w:tgtFrame="_blank" w:history="1">
        <w:r w:rsidRPr="003E58C7">
          <w:rPr>
            <w:rFonts w:ascii="Titillium Web" w:eastAsia="Times New Roman" w:hAnsi="Titillium Web" w:cs="Times New Roman"/>
            <w:color w:val="005F98"/>
            <w:spacing w:val="11"/>
            <w:sz w:val="26"/>
            <w:szCs w:val="26"/>
            <w:u w:val="single"/>
            <w:lang w:eastAsia="it-IT"/>
          </w:rPr>
          <w:t>leadership.condivisa@indire.it</w:t>
        </w:r>
      </w:hyperlink>
    </w:p>
    <w:p w14:paraId="56683E66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3E0D"/>
    <w:multiLevelType w:val="multilevel"/>
    <w:tmpl w:val="4F02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789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C7"/>
    <w:rsid w:val="003E58C7"/>
    <w:rsid w:val="008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141A"/>
  <w15:chartTrackingRefBased/>
  <w15:docId w15:val="{36C032E8-CCBF-4170-8692-6838F555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68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7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97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re.it/bando-concorso/procedura-comparativa-per-la-selezione-di-10-scuole-di-ogni-ordine-e-grado-su-base-nazionale-nellambito-delle-attivita-previste-dal-progetto-leadership-condivisa-per-la-scuola-che-a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ire.it/tag/miglioramento/" TargetMode="External"/><Relationship Id="rId11" Type="http://schemas.openxmlformats.org/officeDocument/2006/relationships/hyperlink" Target="mailto:leadership.condivisa@indire.it" TargetMode="External"/><Relationship Id="rId5" Type="http://schemas.openxmlformats.org/officeDocument/2006/relationships/hyperlink" Target="https://www.indire.it/tag/l2c/" TargetMode="External"/><Relationship Id="rId10" Type="http://schemas.openxmlformats.org/officeDocument/2006/relationships/hyperlink" Target="https://www.indire.it/wp-content/uploads/2022/09/Avviso_di_selezione_n._10_scuole_progetto_Leadership_condivisa_timbr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ire.it/progetto/leadership-condivisa-per-la-scuola-che-apprend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2022-09-21T08:09:00Z</dcterms:created>
  <dcterms:modified xsi:type="dcterms:W3CDTF">2022-09-21T08:09:00Z</dcterms:modified>
</cp:coreProperties>
</file>