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FE65" w14:textId="77777777" w:rsidR="00933623" w:rsidRDefault="00933623" w:rsidP="00933623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Titillium Web" w:hAnsi="Titillium Web"/>
          <w:color w:val="222222"/>
          <w:spacing w:val="11"/>
          <w:sz w:val="26"/>
          <w:szCs w:val="26"/>
        </w:rPr>
      </w:pPr>
      <w:r>
        <w:rPr>
          <w:rFonts w:ascii="Titillium Web" w:hAnsi="Titillium Web"/>
          <w:color w:val="222222"/>
          <w:spacing w:val="11"/>
          <w:sz w:val="26"/>
          <w:szCs w:val="26"/>
        </w:rPr>
        <w:t>Da settembre è attiva in Italia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la rete di Ambasciatori Erasmus+</w:t>
      </w:r>
      <w:r>
        <w:rPr>
          <w:rFonts w:ascii="Titillium Web" w:hAnsi="Titillium Web"/>
          <w:color w:val="222222"/>
          <w:spacing w:val="11"/>
          <w:sz w:val="26"/>
          <w:szCs w:val="26"/>
        </w:rPr>
        <w:t>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Scuola,</w:t>
      </w:r>
      <w:r>
        <w:rPr>
          <w:rFonts w:ascii="Titillium Web" w:hAnsi="Titillium Web"/>
          <w:color w:val="222222"/>
          <w:spacing w:val="11"/>
          <w:sz w:val="26"/>
          <w:szCs w:val="26"/>
        </w:rPr>
        <w:t> composta da oltre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 260 tra docenti e dirigenti scolastici</w:t>
      </w:r>
      <w:r>
        <w:rPr>
          <w:rFonts w:ascii="Titillium Web" w:hAnsi="Titillium Web"/>
          <w:color w:val="222222"/>
          <w:spacing w:val="11"/>
          <w:sz w:val="26"/>
          <w:szCs w:val="26"/>
        </w:rPr>
        <w:t>, esperti di cooperazione e progettazione europea per la scuola, con l’obiettivo di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diffondere a livello regionale le</w:t>
      </w:r>
      <w:r>
        <w:rPr>
          <w:rFonts w:ascii="Titillium Web" w:hAnsi="Titillium Web"/>
          <w:color w:val="222222"/>
          <w:spacing w:val="11"/>
          <w:sz w:val="26"/>
          <w:szCs w:val="26"/>
        </w:rPr>
        <w:t>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opportunità offerte dal Programma Erasmus+</w:t>
      </w:r>
      <w:r>
        <w:rPr>
          <w:rFonts w:ascii="Titillium Web" w:hAnsi="Titillium Web"/>
          <w:color w:val="222222"/>
          <w:spacing w:val="11"/>
          <w:sz w:val="26"/>
          <w:szCs w:val="26"/>
        </w:rPr>
        <w:t>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per le scuole</w:t>
      </w:r>
      <w:r>
        <w:rPr>
          <w:rFonts w:ascii="Titillium Web" w:hAnsi="Titillium Web"/>
          <w:color w:val="222222"/>
          <w:spacing w:val="11"/>
          <w:sz w:val="26"/>
          <w:szCs w:val="26"/>
        </w:rPr>
        <w:t>, favorendo così consapevolezza, partecipazione e internazionalizzazione degli istituti del territorio italiano, in particolare di quelli più remoti e isolati.</w:t>
      </w:r>
    </w:p>
    <w:p w14:paraId="5E855EDA" w14:textId="77777777" w:rsidR="00933623" w:rsidRDefault="00933623" w:rsidP="00933623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Titillium Web" w:hAnsi="Titillium Web"/>
          <w:color w:val="222222"/>
          <w:spacing w:val="11"/>
          <w:sz w:val="26"/>
          <w:szCs w:val="26"/>
        </w:rPr>
      </w:pPr>
      <w:r>
        <w:rPr>
          <w:rFonts w:ascii="Titillium Web" w:hAnsi="Titillium Web"/>
          <w:color w:val="222222"/>
          <w:spacing w:val="11"/>
          <w:sz w:val="26"/>
          <w:szCs w:val="26"/>
        </w:rPr>
        <w:t>Il nuovo network è un’iniziativa nata dall’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Agenzia nazionale Erasmus+ Indire </w:t>
      </w:r>
      <w:hyperlink r:id="rId4" w:tgtFrame="_blank" w:history="1">
        <w:r>
          <w:rPr>
            <w:rStyle w:val="Collegamentoipertestuale"/>
            <w:rFonts w:ascii="Titillium Web" w:hAnsi="Titillium Web"/>
            <w:color w:val="005F98"/>
            <w:spacing w:val="11"/>
            <w:sz w:val="26"/>
            <w:szCs w:val="26"/>
          </w:rPr>
          <w:t>(qui la notizia dell’incontro inaugurale di coordinamento svoltosi a maggio 2022)</w:t>
        </w:r>
      </w:hyperlink>
      <w:r>
        <w:rPr>
          <w:rFonts w:ascii="Titillium Web" w:hAnsi="Titillium Web"/>
          <w:color w:val="222222"/>
          <w:spacing w:val="11"/>
          <w:sz w:val="26"/>
          <w:szCs w:val="26"/>
        </w:rPr>
        <w:t>, in collaborazione con i referenti istituzionali e pedagogici nominati dagli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Uffici Scolastici Regionali, </w:t>
      </w:r>
      <w:r>
        <w:rPr>
          <w:rFonts w:ascii="Titillium Web" w:hAnsi="Titillium Web"/>
          <w:color w:val="222222"/>
          <w:spacing w:val="11"/>
          <w:sz w:val="26"/>
          <w:szCs w:val="26"/>
        </w:rPr>
        <w:t>per supportare le attività di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formazione, promozione e orientamento</w:t>
      </w:r>
      <w:r>
        <w:rPr>
          <w:rFonts w:ascii="Titillium Web" w:hAnsi="Titillium Web"/>
          <w:color w:val="222222"/>
          <w:spacing w:val="11"/>
          <w:sz w:val="26"/>
          <w:szCs w:val="26"/>
        </w:rPr>
        <w:t> sul Programma fra dirigenti scolastici, docenti, studenti e personale scolastico.</w:t>
      </w:r>
    </w:p>
    <w:p w14:paraId="3D94BC45" w14:textId="77777777" w:rsidR="00933623" w:rsidRDefault="00933623" w:rsidP="00933623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Titillium Web" w:hAnsi="Titillium Web"/>
          <w:color w:val="222222"/>
          <w:spacing w:val="11"/>
          <w:sz w:val="26"/>
          <w:szCs w:val="26"/>
        </w:rPr>
      </w:pPr>
      <w:r>
        <w:rPr>
          <w:rFonts w:ascii="Titillium Web" w:hAnsi="Titillium Web"/>
          <w:color w:val="222222"/>
          <w:spacing w:val="11"/>
          <w:sz w:val="26"/>
          <w:szCs w:val="26"/>
        </w:rPr>
        <w:t>Gli Ambasciatori sono parte attiva di un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piano di formazione regionale</w:t>
      </w:r>
      <w:r>
        <w:rPr>
          <w:rFonts w:ascii="Titillium Web" w:hAnsi="Titillium Web"/>
          <w:color w:val="222222"/>
          <w:spacing w:val="11"/>
          <w:sz w:val="26"/>
          <w:szCs w:val="26"/>
        </w:rPr>
        <w:t> che comprende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seminari online e in presenza</w:t>
      </w:r>
      <w:r>
        <w:rPr>
          <w:rFonts w:ascii="Titillium Web" w:hAnsi="Titillium Web"/>
          <w:color w:val="222222"/>
          <w:spacing w:val="11"/>
          <w:sz w:val="26"/>
          <w:szCs w:val="26"/>
        </w:rPr>
        <w:t> indirizzati a docenti e personale scolastico e organizzati dai referenti Erasmus+ Scuola degli USR, in collaborazione con l’Agenzia nazionale Erasmus+ Indire.</w:t>
      </w:r>
    </w:p>
    <w:p w14:paraId="0E076C33" w14:textId="77777777" w:rsidR="00933623" w:rsidRDefault="00933623" w:rsidP="00933623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Titillium Web" w:hAnsi="Titillium Web"/>
          <w:color w:val="222222"/>
          <w:spacing w:val="11"/>
          <w:sz w:val="26"/>
          <w:szCs w:val="26"/>
        </w:rPr>
      </w:pPr>
      <w:r>
        <w:rPr>
          <w:rFonts w:ascii="Titillium Web" w:hAnsi="Titillium Web"/>
          <w:color w:val="222222"/>
          <w:spacing w:val="11"/>
          <w:sz w:val="26"/>
          <w:szCs w:val="26"/>
        </w:rPr>
        <w:t>Gli Ambasciatori possono essere contattati sia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direttamente, </w:t>
      </w:r>
      <w:r>
        <w:rPr>
          <w:rFonts w:ascii="Titillium Web" w:hAnsi="Titillium Web"/>
          <w:color w:val="222222"/>
          <w:spacing w:val="11"/>
          <w:sz w:val="26"/>
          <w:szCs w:val="26"/>
        </w:rPr>
        <w:t xml:space="preserve">per avere consigli e supporto individuale sul Programma in fase di ideazione, progettazione e svolgimento di attività Erasmus+ o </w:t>
      </w:r>
      <w:proofErr w:type="spellStart"/>
      <w:r>
        <w:rPr>
          <w:rFonts w:ascii="Titillium Web" w:hAnsi="Titillium Web"/>
          <w:color w:val="222222"/>
          <w:spacing w:val="11"/>
          <w:sz w:val="26"/>
          <w:szCs w:val="26"/>
        </w:rPr>
        <w:t>eTwinning</w:t>
      </w:r>
      <w:proofErr w:type="spellEnd"/>
      <w:r>
        <w:rPr>
          <w:rFonts w:ascii="Titillium Web" w:hAnsi="Titillium Web"/>
          <w:color w:val="222222"/>
          <w:spacing w:val="11"/>
          <w:sz w:val="26"/>
          <w:szCs w:val="26"/>
        </w:rPr>
        <w:t>, sia </w:t>
      </w:r>
      <w:r>
        <w:rPr>
          <w:rStyle w:val="Enfasigrassetto"/>
          <w:rFonts w:ascii="Titillium Web" w:hAnsi="Titillium Web"/>
          <w:color w:val="222222"/>
          <w:spacing w:val="11"/>
          <w:sz w:val="26"/>
          <w:szCs w:val="26"/>
        </w:rPr>
        <w:t>tramite i referenti USR e pedagogici</w:t>
      </w:r>
      <w:r>
        <w:rPr>
          <w:rFonts w:ascii="Titillium Web" w:hAnsi="Titillium Web"/>
          <w:color w:val="222222"/>
          <w:spacing w:val="11"/>
          <w:sz w:val="26"/>
          <w:szCs w:val="26"/>
        </w:rPr>
        <w:t>, per proporre l’organizzazione di attività di formazione nel proprio istituto o partecipare alle attività previste nel calendario dei seminari regionali.</w:t>
      </w:r>
    </w:p>
    <w:p w14:paraId="4DCE9ECB" w14:textId="77777777" w:rsidR="00933623" w:rsidRDefault="00933623" w:rsidP="00933623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Titillium Web" w:hAnsi="Titillium Web"/>
          <w:color w:val="222222"/>
          <w:spacing w:val="11"/>
          <w:sz w:val="26"/>
          <w:szCs w:val="26"/>
        </w:rPr>
      </w:pPr>
      <w:r>
        <w:rPr>
          <w:rFonts w:ascii="Titillium Web" w:hAnsi="Titillium Web"/>
          <w:color w:val="222222"/>
          <w:spacing w:val="11"/>
          <w:sz w:val="26"/>
          <w:szCs w:val="26"/>
        </w:rPr>
        <w:t>Maggiori informazioni sulla rete, la mappa regione per regione e le modalità per contattare i singoli Ambasciatori sono disponibili </w:t>
      </w:r>
      <w:hyperlink r:id="rId5" w:tgtFrame="_blank" w:history="1">
        <w:r>
          <w:rPr>
            <w:rStyle w:val="Collegamentoipertestuale"/>
            <w:rFonts w:ascii="Titillium Web" w:hAnsi="Titillium Web"/>
            <w:color w:val="005F98"/>
            <w:spacing w:val="11"/>
            <w:sz w:val="26"/>
            <w:szCs w:val="26"/>
          </w:rPr>
          <w:t>nella nuova sezione dedicata</w:t>
        </w:r>
      </w:hyperlink>
      <w:r>
        <w:rPr>
          <w:rFonts w:ascii="Titillium Web" w:hAnsi="Titillium Web"/>
          <w:color w:val="222222"/>
          <w:spacing w:val="11"/>
          <w:sz w:val="26"/>
          <w:szCs w:val="26"/>
        </w:rPr>
        <w:t>.</w:t>
      </w:r>
    </w:p>
    <w:p w14:paraId="0AAEA96A" w14:textId="77777777" w:rsidR="00933623" w:rsidRDefault="00933623" w:rsidP="00933623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Titillium Web" w:hAnsi="Titillium Web"/>
          <w:color w:val="222222"/>
          <w:spacing w:val="11"/>
          <w:sz w:val="26"/>
          <w:szCs w:val="26"/>
        </w:rPr>
      </w:pPr>
      <w:r>
        <w:rPr>
          <w:rFonts w:ascii="Titillium Web" w:hAnsi="Titillium Web"/>
          <w:color w:val="222222"/>
          <w:spacing w:val="11"/>
          <w:sz w:val="26"/>
          <w:szCs w:val="26"/>
        </w:rPr>
        <w:t> </w:t>
      </w:r>
    </w:p>
    <w:p w14:paraId="6BA2D501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23"/>
    <w:rsid w:val="00820E82"/>
    <w:rsid w:val="0093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A9EB"/>
  <w15:chartTrackingRefBased/>
  <w15:docId w15:val="{04B3FBDD-0FC1-4F9C-9F24-7DBB33A5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3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362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33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rasmusplus.it/scuola/ambasciatori-erasmus-scuola/" TargetMode="External"/><Relationship Id="rId4" Type="http://schemas.openxmlformats.org/officeDocument/2006/relationships/hyperlink" Target="https://www.indire.it/2022/05/13/ambasciatori-erasmus-scuola-primo-incontro-allinsegna-della-formazione-e-dellentusiasm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2022-09-12T05:30:00Z</dcterms:created>
  <dcterms:modified xsi:type="dcterms:W3CDTF">2022-09-12T05:30:00Z</dcterms:modified>
</cp:coreProperties>
</file>