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7DD8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È entrato in vigore il 10 agosto 2022 il </w:t>
      </w:r>
      <w:hyperlink r:id="rId5" w:tgtFrame="_blank" w:history="1">
        <w:r w:rsidRPr="00AF1F11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decreto legge 115 del 9 agosto 2022</w:t>
        </w:r>
      </w:hyperlink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AF1F11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“Misure urgenti in materia di energia, emergenza idrica, politiche sociali e industriali”.</w:t>
      </w:r>
    </w:p>
    <w:p w14:paraId="1571A92E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Forniamo una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sintesi dei contenuti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 provvedimento con particolare riferimento alle disposizioni che impattano direttamente o indirettamente sui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settori della conoscenza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14:paraId="4473F7CB" w14:textId="77777777" w:rsidR="00AF1F11" w:rsidRPr="00AF1F11" w:rsidRDefault="00AF1F11" w:rsidP="00AF1F11">
      <w:pPr>
        <w:pBdr>
          <w:bottom w:val="dotted" w:sz="6" w:space="3" w:color="CCCCCC"/>
        </w:pBdr>
        <w:shd w:val="clear" w:color="auto" w:fill="F2F2F2"/>
        <w:spacing w:before="300" w:after="150" w:line="240" w:lineRule="auto"/>
        <w:jc w:val="center"/>
        <w:outlineLvl w:val="4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bookmarkStart w:id="0" w:name="disposizioni-generali"/>
      <w:bookmarkEnd w:id="0"/>
      <w:r w:rsidRPr="00AF1F11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Disposizioni di carattere generale</w:t>
      </w:r>
    </w:p>
    <w:p w14:paraId="2FF5F56C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it-IT"/>
        </w:rPr>
        <w:t>Esonero parziale dei contributi previdenziali a carico dei lavoratori dipendenti</w:t>
      </w:r>
    </w:p>
    <w:p w14:paraId="09D4FF70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Stabilito per il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2° secondo semestre del 2022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per i rapporti di lavoro dipendente, un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incremento dell’esonero sulla quota dei contributi previdenziali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l’invalidità, la vecchiaia e i superstiti a carico del lavoratore,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pari a 1,2 per cento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 La legge di bilancio 2022 (</w:t>
      </w:r>
      <w:hyperlink r:id="rId6" w:tgtFrame="_blank" w:history="1">
        <w:r w:rsidRPr="00AF1F11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legge 234/21</w:t>
        </w:r>
      </w:hyperlink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art. 1 comma 121) aveva già previsto un esonero pari allo 0,8 per tutto il 2022</w:t>
      </w:r>
    </w:p>
    <w:p w14:paraId="4B581EF0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L’esonero è riconosciuto a condizione che la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retribuzione imponibile, parametrata su base mensile per tredici mensilità, non ecceda l’importo di 2.692 euro al mese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maggiorato, per la competenza del mese di dicembre, del rateo di tredicesima.</w:t>
      </w:r>
    </w:p>
    <w:p w14:paraId="0EA7C052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 considerazione dell’eccezionalità di tale misura,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resta ferma l’aliquota di computo delle prestazioni pensionistiche.</w:t>
      </w:r>
    </w:p>
    <w:p w14:paraId="5489C92D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it-IT"/>
        </w:rPr>
        <w:t>Indennità una tantum di 200</w:t>
      </w:r>
    </w:p>
    <w:p w14:paraId="44F7B6D0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L'Inps, a domanda, erogherà l’indennità tantum pari a 200 euro anche ai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dottorandi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 agli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assegnisti di ricerca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 cui contratti sono attivi alla data di entrata in vigore del </w:t>
      </w:r>
      <w:hyperlink r:id="rId7" w:tgtFrame="_blank" w:history="1">
        <w:r w:rsidRPr="00AF1F11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Decreto Legge 50/22</w:t>
        </w:r>
      </w:hyperlink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(18 maggio 2022)</w:t>
      </w:r>
    </w:p>
    <w:p w14:paraId="6E2D1FE1" w14:textId="77777777" w:rsidR="00AF1F11" w:rsidRPr="00AF1F11" w:rsidRDefault="00AF1F11" w:rsidP="00AF1F11">
      <w:pPr>
        <w:pBdr>
          <w:bottom w:val="dotted" w:sz="6" w:space="3" w:color="CCCCCC"/>
        </w:pBdr>
        <w:shd w:val="clear" w:color="auto" w:fill="F2F2F2"/>
        <w:spacing w:before="300" w:after="150" w:line="240" w:lineRule="auto"/>
        <w:jc w:val="center"/>
        <w:outlineLvl w:val="4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bookmarkStart w:id="1" w:name="istruzione"/>
      <w:bookmarkEnd w:id="1"/>
      <w:r w:rsidRPr="00AF1F11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Istruzione</w:t>
      </w:r>
    </w:p>
    <w:p w14:paraId="542CDE2B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it-IT"/>
        </w:rPr>
        <w:t>Formazione incentiva</w:t>
      </w:r>
    </w:p>
    <w:p w14:paraId="5853F2F5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 esito ai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percorsi di formazione in servizio incentivata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introdotti dal </w:t>
      </w:r>
      <w:hyperlink r:id="rId8" w:tgtFrame="_blank" w:history="1">
        <w:r w:rsidRPr="00AF1F11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DL 36/22</w:t>
        </w:r>
      </w:hyperlink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per gli insegnanti di ruolo di ogni ordine e grado del sistema scolastico statale, al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superamento del percorso formativo triennale e 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solo in caso di valutazione individuale positiva è previsto un elemento retributivo una tantum di carattere accessorio, stabilito dalla contrattazione collettiva nazionale, non inferiore al 10 per cento e non superiore al 20 per cento del trattamento stipendiale in godimento, nei limiti delle risorse disponibili e secondo le modalità ivi previste.</w:t>
      </w:r>
    </w:p>
    <w:p w14:paraId="279C8AF4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it-IT"/>
        </w:rPr>
        <w:t>Istituzione della qualifica di docente esperto</w:t>
      </w:r>
    </w:p>
    <w:p w14:paraId="3B8B8656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 docenti di ruolo che abbiano conseguito una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valutazione positiva nel superamento di tre percorsi formativi incentivati, consecutivi e non sovrapponibili,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nel limite di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8 mila unità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ciascuno degli anni scolastici 2032/2033, 2033/2034, 2034/2035 e 2035/2036, possono accedere alla qualifica di docente esperto e maturano il diritto ad un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assegno annuale ad personam di importo pari a 5.650 euro 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che si somma al trattamento stipendiale in godimento. Ai fini pensionistici e tale assegno opera con effetto sulle anzianità contributive maturate a partire dalla data di decorrenza del beneficio economico.</w:t>
      </w:r>
    </w:p>
    <w:p w14:paraId="72AD66F5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 decorrere dall'anno scolastico 2036/2037 le procedure per l'accesso alla qualifica di docente esperto sono soggette al regime autorizzatorio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nei limiti</w:t>
      </w:r>
    </w:p>
    <w:p w14:paraId="0153BD6B" w14:textId="77777777" w:rsidR="00AF1F11" w:rsidRPr="00AF1F11" w:rsidRDefault="00AF1F11" w:rsidP="00AF1F11">
      <w:pPr>
        <w:numPr>
          <w:ilvl w:val="0"/>
          <w:numId w:val="1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delle cessazioni riferite al personale docente esperto</w:t>
      </w:r>
    </w:p>
    <w:p w14:paraId="04966174" w14:textId="77777777" w:rsidR="00AF1F11" w:rsidRPr="00AF1F11" w:rsidRDefault="00AF1F11" w:rsidP="00AF1F11">
      <w:pPr>
        <w:numPr>
          <w:ilvl w:val="0"/>
          <w:numId w:val="1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della quota del fondo istituita per la formazione incentivata riservata alla copertura dell'assegno ad personam da attribuire ad un contingente di docente esperto nella misura massima di 32 mila</w:t>
      </w:r>
    </w:p>
    <w:p w14:paraId="18255FBC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qualifica di docente esperto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non comporta nuove o diverse funzioni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oltre a quelle dell'insegnamento.</w:t>
      </w:r>
    </w:p>
    <w:p w14:paraId="6CD65DEF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lastRenderedPageBreak/>
        <w:t>Il docente esperto è tenuto a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rimanere nella istituzione scolastica per almeno il triennio successivo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al conseguimento di suddetta qualifica.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Tale disposizione non si applica ai docenti in servizio all’estero</w:t>
      </w:r>
    </w:p>
    <w:p w14:paraId="76DE81F4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Con specifico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decreto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 Ministero dell’istruzione di concerto con il MEF sono precisate le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modalità di valutazione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l’accesso alla qualifica di docente esperto. Alla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contrattazione collettiva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è rimessa la definizione dei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criteri in base ai quali si selezionano i docenti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cui riconoscere la qualifica di docente esperto. In sede di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prima applicazione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nelle more dell'aggiornamento contrattuale, si applicano i seguenti criteri di valutazione e selezione</w:t>
      </w:r>
    </w:p>
    <w:p w14:paraId="512C61DB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1)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media del punteggio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 ottenuto nei tre cicli formativi consecutivi per i quali si </w:t>
      </w:r>
      <w:proofErr w:type="spellStart"/>
      <w:proofErr w:type="gramStart"/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e'</w:t>
      </w:r>
      <w:proofErr w:type="spellEnd"/>
      <w:proofErr w:type="gramEnd"/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ricevuta una valutazione positiva;</w:t>
      </w:r>
    </w:p>
    <w:p w14:paraId="2EB2DDE9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2) in caso di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parità di punteggio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 diventa prevalente la permanenza come docente di ruolo nella istituzione scolastica presso la quale si </w:t>
      </w:r>
      <w:proofErr w:type="spellStart"/>
      <w:proofErr w:type="gramStart"/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e'</w:t>
      </w:r>
      <w:proofErr w:type="spellEnd"/>
      <w:proofErr w:type="gramEnd"/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svolta la valutazione e, in subordine, l'esperienza professionale maturata nel corso dell'intera carriera, i titoli di studio posseduti e, ove necessario, i voti con cui sono stati conseguiti detti titoli.</w:t>
      </w:r>
    </w:p>
    <w:p w14:paraId="1EF7F4D6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it-IT"/>
        </w:rPr>
        <w:t>Contributi agli enti locali in tema di istruzione</w:t>
      </w:r>
    </w:p>
    <w:p w14:paraId="29786A45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Messa in sicurezza ed efficientamento energetico delle scuole</w:t>
      </w:r>
    </w:p>
    <w:p w14:paraId="0B919935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 risorse assegnate agli enti locali per il 2023 (350 milioni) dalla legge di bilancio 2020 (</w:t>
      </w:r>
      <w:hyperlink r:id="rId9" w:tgtFrame="_blank" w:history="1">
        <w:r w:rsidRPr="00AF1F11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Legge 160/19</w:t>
        </w:r>
      </w:hyperlink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art. 1 comma 51) finalizzate, tra l’altro, alla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progettazione definitiva ed esecutiva relativa ad interventi i messa in sicurezza ed efficientamento energetico delle scuole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sono attribuite scorrimento della graduatoria dei progetti ammissibili per l'anno 2022, a cura del Ministero dell'interno. Gli enti beneficiari del contributo sono individuati con comunicato del Ministero dell'interno che sarà pubblicato entro il 15 settembre 2022.</w:t>
      </w:r>
    </w:p>
    <w:p w14:paraId="6BAF4C4F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Asili nidi</w:t>
      </w:r>
    </w:p>
    <w:p w14:paraId="3F0F6C88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somme stanziate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dalle vigenti norme finalizzate a i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ncrementare 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 percentuale, nel limite delle risorse disponibili per ciascun anno,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il numero dei posti nei servizi educativi per l'infanzia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di cui all'articolo 2, comma 3, lettera a), del decreto legislativo 13 aprile 2017, n. 65, sino al raggiungimento di un livello minimo che ciascun comune o bacino territoriale è tenuto a garantire, che a seguito del monitoraggio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risultassero non destinate ad assicurare il potenziamento del servizio asili nido sono recuperate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 valere sul fondo di solidarietà comunale attribuito ai medesimi comuni.</w:t>
      </w:r>
    </w:p>
    <w:p w14:paraId="4DC384BB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it-IT"/>
        </w:rPr>
        <w:t>Sostegno alle famiglie per la fruizione dei servizi di trasporto pubblico</w:t>
      </w:r>
    </w:p>
    <w:p w14:paraId="60C7E647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fine di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mitigare l'impatto del rincaro dei prezzi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dei prodotti energetici sulle famiglie, in particolare in relazione ai costi di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trasporto per studenti e lavoratori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è incrementato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da 79 a 180 milioni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di euro per l’anno 2022 il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fondo istituito presso il Ministero del lavoro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finalizzato a r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iconoscere un buono da utilizzare per l'acquisto fino al 31 dicembre 2022, di abbonamenti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i servizi di trasporto pubblico locale, regionale e interregionale ovvero per i servizi di trasporto ferroviario nazionale.</w:t>
      </w:r>
    </w:p>
    <w:p w14:paraId="6FDA24A8" w14:textId="77777777" w:rsidR="00AF1F11" w:rsidRPr="00AF1F11" w:rsidRDefault="00AF1F11" w:rsidP="00AF1F11">
      <w:pPr>
        <w:pBdr>
          <w:bottom w:val="dotted" w:sz="6" w:space="3" w:color="CCCCCC"/>
        </w:pBdr>
        <w:shd w:val="clear" w:color="auto" w:fill="F2F2F2"/>
        <w:spacing w:before="300" w:after="150" w:line="240" w:lineRule="auto"/>
        <w:jc w:val="center"/>
        <w:outlineLvl w:val="4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bookmarkStart w:id="2" w:name="universita"/>
      <w:bookmarkEnd w:id="2"/>
      <w:r w:rsidRPr="00AF1F11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Università</w:t>
      </w:r>
    </w:p>
    <w:p w14:paraId="1EBD2C55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it-IT"/>
        </w:rPr>
        <w:t>Alloggi e residenze per studenti universitari</w:t>
      </w:r>
    </w:p>
    <w:p w14:paraId="5A5A708D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risorse del PNRR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in tema di alloggi e residenze per studenti universitari possono essere destinate anche all'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acquisizione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da parte sia dei soggetti “istituzionali” (regioni, province autonome di Trento e di Bolzano, organismi regionali di gestione per il diritto allo studio universitario, università statali e legalmente riconosciute, ecc.) che di altri soggetti pubblici e privati della disponibilità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di posti letto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studenti universitari, mediante</w:t>
      </w:r>
    </w:p>
    <w:p w14:paraId="5A9CA97D" w14:textId="77777777" w:rsidR="00AF1F11" w:rsidRPr="00AF1F11" w:rsidRDefault="00AF1F11" w:rsidP="00AF1F11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l'acquisizione del </w:t>
      </w:r>
      <w:r w:rsidRPr="00AF1F11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diritto di proprietà</w:t>
      </w:r>
    </w:p>
    <w:p w14:paraId="471EF933" w14:textId="77777777" w:rsidR="00AF1F11" w:rsidRPr="00AF1F11" w:rsidRDefault="00AF1F11" w:rsidP="00AF1F11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o l'instaurazione di un </w:t>
      </w:r>
      <w:r w:rsidRPr="00AF1F11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rapporto di locazione a lungo termine</w:t>
      </w:r>
    </w:p>
    <w:p w14:paraId="0A4AFCBC" w14:textId="77777777" w:rsidR="00AF1F11" w:rsidRPr="00AF1F11" w:rsidRDefault="00AF1F11" w:rsidP="00AF1F11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lastRenderedPageBreak/>
        <w:t>o per finanziare </w:t>
      </w:r>
      <w:r w:rsidRPr="00AF1F11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interventi di adeguamento delle residenze universitarie</w:t>
      </w:r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agli standard di cui alla comunicazione della Commissione europea dell'11 dicembre 2019 (</w:t>
      </w:r>
      <w:proofErr w:type="gramStart"/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COM(</w:t>
      </w:r>
      <w:proofErr w:type="gramEnd"/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2019) 640 </w:t>
      </w:r>
      <w:proofErr w:type="spellStart"/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final</w:t>
      </w:r>
      <w:proofErr w:type="spellEnd"/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) sul Green Deal europeo.</w:t>
      </w:r>
    </w:p>
    <w:p w14:paraId="79CE7EA7" w14:textId="77777777" w:rsidR="00AF1F11" w:rsidRPr="00AF1F11" w:rsidRDefault="00AF1F11" w:rsidP="00AF1F11">
      <w:pPr>
        <w:pBdr>
          <w:bottom w:val="dotted" w:sz="6" w:space="3" w:color="CCCCCC"/>
        </w:pBdr>
        <w:shd w:val="clear" w:color="auto" w:fill="F2F2F2"/>
        <w:spacing w:before="300" w:after="150" w:line="240" w:lineRule="auto"/>
        <w:jc w:val="center"/>
        <w:outlineLvl w:val="4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bookmarkStart w:id="3" w:name="ricerca"/>
      <w:bookmarkEnd w:id="3"/>
      <w:r w:rsidRPr="00AF1F11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Ricerca</w:t>
      </w:r>
    </w:p>
    <w:p w14:paraId="01DDBC04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it-IT"/>
        </w:rPr>
        <w:t>Società 3-I S.p.A.</w:t>
      </w:r>
    </w:p>
    <w:p w14:paraId="328295EF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capitale sociale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della Società 3–I S.p.A. costituita ai sensi dell’art. 28 del DL 36/22 è pari a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45 milioni di euro in fase di prima sottoscrizione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 Sono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consentiti successivi aumenti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di tale capitale per mezzo di conferimenti in natura da arte dell’INAIL, dell’INPS e dell’ISTAT.</w:t>
      </w:r>
    </w:p>
    <w:p w14:paraId="56BEB94F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Con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decreto del Presidente del Consiglio dei Ministri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sono definiti anche i contratti, i rapporti attivi e passivi e ogni altra pertinenza, che sono trasferiti alla società 3-I S.p.A. per l'assolvimento dei propri compiti.</w:t>
      </w:r>
    </w:p>
    <w:p w14:paraId="6DD7E11D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Anche 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contratti, i rapporti attivi e passivi effettuati dall’INAIL, dall’INPS e dell’INAIL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nei confronti della società sono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esenti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senza limiti di valore, da ogni imposta, spesa, tassa o diritto di qualsiasi specie o natura.</w:t>
      </w:r>
    </w:p>
    <w:p w14:paraId="0DE41870" w14:textId="77777777" w:rsidR="00AF1F11" w:rsidRPr="00AF1F11" w:rsidRDefault="00AF1F11" w:rsidP="00AF1F11">
      <w:pPr>
        <w:pBdr>
          <w:bottom w:val="dotted" w:sz="6" w:space="3" w:color="CCCCCC"/>
        </w:pBdr>
        <w:shd w:val="clear" w:color="auto" w:fill="F2F2F2"/>
        <w:spacing w:before="300" w:after="150" w:line="240" w:lineRule="auto"/>
        <w:jc w:val="center"/>
        <w:outlineLvl w:val="4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bookmarkStart w:id="4" w:name="altre-disposizioni"/>
      <w:bookmarkEnd w:id="4"/>
      <w:r w:rsidRPr="00AF1F11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Altre disposizioni</w:t>
      </w:r>
    </w:p>
    <w:p w14:paraId="028A40C1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it-IT"/>
        </w:rPr>
        <w:t>Norme sugli aumenti dei prezzi del settore elettrico e del gas naturale</w:t>
      </w:r>
    </w:p>
    <w:p w14:paraId="0CE2EB35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Fino al 30 aprile 2023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sono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sospese le clausole contrattuali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che consentono all'impresa fornitrice di energia elettrica e gas naturale di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modificare unilateralmente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le condizioni generali di contratto relative alla definizione del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prezzo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 Sono inefficaci anche i preavvisi inviati prima del 10 agosto salvo che le modifiche contrattuali si siano già perfezionate. Rimane riconosciuto il diritto di recesso della controparte.</w:t>
      </w:r>
    </w:p>
    <w:p w14:paraId="7866017B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fine di ridurre l’impatto degli aumenti dei prezzi del settore elettrico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l’Autorità di regolazione per energia, reti e ambiente (ARERA) provvede ad annullare, per il quarto trimestre 2022, le aliquote relative agli oneri generali di sistema elettrico applicate alle utenze domestiche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 alle utenze non domestiche in bassa tensione, per altri usi, con potenza disponibile fino a 16,5 kW.</w:t>
      </w:r>
    </w:p>
    <w:p w14:paraId="7C53C97A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fine di ridurre l’impatto degli aumenti dei prezzi del settore del gas naturale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l’Autorità di regolazione per energia, reti e ambiente (ARERA) provvede a mantenere inalterate, per il quarto trimestre 2022, le aliquote relative agli oneri generali di sistema per il settore del gas naturale 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 vigore nel terzo trimestre del 2022.</w:t>
      </w:r>
    </w:p>
    <w:p w14:paraId="35653D57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it-IT"/>
        </w:rPr>
        <w:t>Welfare aziendale</w:t>
      </w:r>
    </w:p>
    <w:p w14:paraId="07EEFB5D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Limitatamente al periodo d'imposta 2022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non concorrono a formare il reddito</w:t>
      </w:r>
    </w:p>
    <w:p w14:paraId="762DE092" w14:textId="77777777" w:rsidR="00AF1F11" w:rsidRPr="00AF1F11" w:rsidRDefault="00AF1F11" w:rsidP="00AF1F11">
      <w:pPr>
        <w:numPr>
          <w:ilvl w:val="0"/>
          <w:numId w:val="3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il valore dei beni ceduti e dei servizi prestati</w:t>
      </w:r>
    </w:p>
    <w:p w14:paraId="590D2D4F" w14:textId="77777777" w:rsidR="00AF1F11" w:rsidRPr="00AF1F11" w:rsidRDefault="00AF1F11" w:rsidP="00AF1F11">
      <w:pPr>
        <w:numPr>
          <w:ilvl w:val="0"/>
          <w:numId w:val="3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le somme erogate o rimborsate</w:t>
      </w:r>
    </w:p>
    <w:p w14:paraId="69901BAB" w14:textId="77777777" w:rsidR="00AF1F11" w:rsidRPr="00AF1F11" w:rsidRDefault="00AF1F11" w:rsidP="00AF1F1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ai lavoratori dipendenti dai datori di lavoro per il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pagamento delle utenze domestiche del servizio idrico integrato, dell'energia elettrica e del gas naturale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entro il limite complessivo di </w:t>
      </w:r>
      <w:r w:rsidRPr="00AF1F1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euro 600,00</w:t>
      </w:r>
      <w:r w:rsidRPr="00AF1F1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14:paraId="00FECCC2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4D3C"/>
    <w:multiLevelType w:val="multilevel"/>
    <w:tmpl w:val="8580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B1F72"/>
    <w:multiLevelType w:val="multilevel"/>
    <w:tmpl w:val="22B8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713C56"/>
    <w:multiLevelType w:val="multilevel"/>
    <w:tmpl w:val="BDA8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856700">
    <w:abstractNumId w:val="1"/>
  </w:num>
  <w:num w:numId="2" w16cid:durableId="1616014605">
    <w:abstractNumId w:val="2"/>
  </w:num>
  <w:num w:numId="3" w16cid:durableId="142896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11"/>
    <w:rsid w:val="00820E82"/>
    <w:rsid w:val="00A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8A1B"/>
  <w15:chartTrackingRefBased/>
  <w15:docId w15:val="{45FBE0B2-E3E4-4305-BAAD-9F16DEBE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cgil.it/leggi-normative/documenti/leggi/testo-del-decreto-legge-36-del-30-aprile-2022-coordinato-con-la-legge-di-conversione-79-del-29-giugno-2022-recante-ulteriori-misure-urgenti-per-l-attuazione-del-piano-nazionale-di-ripresa-e-resilienza-pnrr.fl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atto/serie_generale/caricaDettaglioAtto/originario?atto.dataPubblicazioneGazzetta=2022-07-15&amp;atto.codiceRedazionale=22A04118&amp;elenco30giorni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cgil.it/leggi-normative/documenti/leggi/legge-234-del-30-dicembre-2021-bilancio-previsione-stato-anno-finanziario-2022-e-bilancio-pluriennale-triennio-2022-2024.fl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lcgil.it/leggi-normative/documenti/decreti-legge/decreto-legge-115-del-9-agosto-2022-misure-urgenti-in-materia-di-energia-emergenza-idrica-politiche-sociali-e-industriali.fl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lcgil.it/leggi-normative/documenti/leggi/legge-160-del-27-dicembre-2019-bilancio-di-previsione-dello-stato-per-l-anno-finanziario-2020-e-bilancio-pluriennale-per-il-triennio-2020-2022.fl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1570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2022-08-17T06:43:00Z</dcterms:created>
  <dcterms:modified xsi:type="dcterms:W3CDTF">2022-08-17T06:44:00Z</dcterms:modified>
</cp:coreProperties>
</file>