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55" w:rsidRPr="00951D55" w:rsidRDefault="00951D55" w:rsidP="00951D55">
      <w:pPr>
        <w:shd w:val="clear" w:color="auto" w:fill="FFFFFF"/>
        <w:spacing w:after="0" w:line="525" w:lineRule="atLeast"/>
        <w:outlineLvl w:val="0"/>
        <w:rPr>
          <w:rFonts w:ascii="Tahoma" w:eastAsia="Times New Roman" w:hAnsi="Tahoma" w:cs="Tahoma"/>
          <w:color w:val="DC3B33"/>
          <w:kern w:val="36"/>
          <w:sz w:val="45"/>
          <w:szCs w:val="45"/>
          <w:lang w:eastAsia="it-IT"/>
        </w:rPr>
      </w:pPr>
      <w:r w:rsidRPr="00951D55">
        <w:rPr>
          <w:rFonts w:ascii="Tahoma" w:eastAsia="Times New Roman" w:hAnsi="Tahoma" w:cs="Tahoma"/>
          <w:color w:val="DC3B33"/>
          <w:kern w:val="36"/>
          <w:sz w:val="45"/>
          <w:szCs w:val="45"/>
          <w:lang w:eastAsia="it-IT"/>
        </w:rPr>
        <w:t xml:space="preserve">Lavoratori fragili: prorogate le tutele su </w:t>
      </w:r>
      <w:proofErr w:type="spellStart"/>
      <w:r w:rsidRPr="00951D55">
        <w:rPr>
          <w:rFonts w:ascii="Tahoma" w:eastAsia="Times New Roman" w:hAnsi="Tahoma" w:cs="Tahoma"/>
          <w:color w:val="DC3B33"/>
          <w:kern w:val="36"/>
          <w:sz w:val="45"/>
          <w:szCs w:val="45"/>
          <w:lang w:eastAsia="it-IT"/>
        </w:rPr>
        <w:t>smart</w:t>
      </w:r>
      <w:proofErr w:type="spellEnd"/>
      <w:r w:rsidRPr="00951D55">
        <w:rPr>
          <w:rFonts w:ascii="Tahoma" w:eastAsia="Times New Roman" w:hAnsi="Tahoma" w:cs="Tahoma"/>
          <w:color w:val="DC3B33"/>
          <w:kern w:val="36"/>
          <w:sz w:val="45"/>
          <w:szCs w:val="45"/>
          <w:lang w:eastAsia="it-IT"/>
        </w:rPr>
        <w:t xml:space="preserve"> </w:t>
      </w:r>
      <w:proofErr w:type="spellStart"/>
      <w:r w:rsidRPr="00951D55">
        <w:rPr>
          <w:rFonts w:ascii="Tahoma" w:eastAsia="Times New Roman" w:hAnsi="Tahoma" w:cs="Tahoma"/>
          <w:color w:val="DC3B33"/>
          <w:kern w:val="36"/>
          <w:sz w:val="45"/>
          <w:szCs w:val="45"/>
          <w:lang w:eastAsia="it-IT"/>
        </w:rPr>
        <w:t>working</w:t>
      </w:r>
      <w:proofErr w:type="spellEnd"/>
      <w:r w:rsidRPr="00951D55">
        <w:rPr>
          <w:rFonts w:ascii="Tahoma" w:eastAsia="Times New Roman" w:hAnsi="Tahoma" w:cs="Tahoma"/>
          <w:color w:val="DC3B33"/>
          <w:kern w:val="36"/>
          <w:sz w:val="45"/>
          <w:szCs w:val="45"/>
          <w:lang w:eastAsia="it-IT"/>
        </w:rPr>
        <w:t xml:space="preserve"> e assenze</w:t>
      </w:r>
    </w:p>
    <w:p w:rsidR="00951D55" w:rsidRPr="00951D55" w:rsidRDefault="00951D55" w:rsidP="00951D55">
      <w:pPr>
        <w:shd w:val="clear" w:color="auto" w:fill="FFFFFF"/>
        <w:spacing w:before="75" w:after="75" w:line="240" w:lineRule="auto"/>
        <w:outlineLvl w:val="3"/>
        <w:rPr>
          <w:rFonts w:ascii="Arial" w:eastAsia="Times New Roman" w:hAnsi="Arial" w:cs="Arial"/>
          <w:color w:val="535353"/>
          <w:sz w:val="27"/>
          <w:szCs w:val="27"/>
          <w:lang w:eastAsia="it-IT"/>
        </w:rPr>
      </w:pPr>
      <w:r w:rsidRPr="00951D55">
        <w:rPr>
          <w:rFonts w:ascii="Arial" w:eastAsia="Times New Roman" w:hAnsi="Arial" w:cs="Arial"/>
          <w:color w:val="535353"/>
          <w:sz w:val="27"/>
          <w:szCs w:val="27"/>
          <w:lang w:eastAsia="it-IT"/>
        </w:rPr>
        <w:t>In sede di conversione, il Decreto Riaperture ha reinserito le precedenti tutele aggiornando il termine al 30 giugno 2022. L'integrazione di ulteriori patologie croniche. Nuova scadenza anche sulle misure di sorveglianza sanitaria per rischio contagio.</w:t>
      </w:r>
    </w:p>
    <w:p w:rsidR="00951D55" w:rsidRPr="00951D55" w:rsidRDefault="00951D55" w:rsidP="00951D55">
      <w:pPr>
        <w:shd w:val="clear" w:color="auto" w:fill="FFFFFF"/>
        <w:spacing w:after="0" w:line="240" w:lineRule="auto"/>
        <w:rPr>
          <w:rFonts w:ascii="Arial" w:eastAsia="Times New Roman" w:hAnsi="Arial" w:cs="Arial"/>
          <w:color w:val="4D4D4D"/>
          <w:sz w:val="21"/>
          <w:szCs w:val="21"/>
          <w:lang w:eastAsia="it-IT"/>
        </w:rPr>
      </w:pPr>
      <w:r w:rsidRPr="00951D55">
        <w:rPr>
          <w:rFonts w:ascii="Arial" w:eastAsia="Times New Roman" w:hAnsi="Arial" w:cs="Arial"/>
          <w:b/>
          <w:bCs/>
          <w:color w:val="4D4D4D"/>
          <w:sz w:val="21"/>
          <w:szCs w:val="21"/>
          <w:lang w:eastAsia="it-IT"/>
        </w:rPr>
        <w:t>26/05/2022</w:t>
      </w:r>
    </w:p>
    <w:p w:rsidR="00951D55" w:rsidRPr="00951D55" w:rsidRDefault="00951D55" w:rsidP="00951D55">
      <w:pPr>
        <w:shd w:val="clear" w:color="auto" w:fill="F2F2F2"/>
        <w:spacing w:after="0" w:line="240" w:lineRule="auto"/>
        <w:rPr>
          <w:rFonts w:ascii="Arial" w:eastAsia="Times New Roman" w:hAnsi="Arial" w:cs="Arial"/>
          <w:color w:val="000000"/>
          <w:sz w:val="21"/>
          <w:szCs w:val="21"/>
          <w:lang w:eastAsia="it-IT"/>
        </w:rPr>
      </w:pPr>
      <w:bookmarkStart w:id="0" w:name="fb_share"/>
      <w:bookmarkStart w:id="1" w:name="_GoBack"/>
      <w:bookmarkEnd w:id="1"/>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La conversione del DL 24/2022 (</w:t>
      </w:r>
      <w:r w:rsidRPr="00951D55">
        <w:rPr>
          <w:rFonts w:ascii="Arial" w:eastAsia="Times New Roman" w:hAnsi="Arial" w:cs="Arial"/>
          <w:i/>
          <w:iCs/>
          <w:color w:val="000000"/>
          <w:sz w:val="21"/>
          <w:szCs w:val="21"/>
          <w:lang w:eastAsia="it-IT"/>
        </w:rPr>
        <w:t>cd. Decreto Riaperture</w:t>
      </w:r>
      <w:r w:rsidRPr="00951D55">
        <w:rPr>
          <w:rFonts w:ascii="Arial" w:eastAsia="Times New Roman" w:hAnsi="Arial" w:cs="Arial"/>
          <w:color w:val="000000"/>
          <w:sz w:val="21"/>
          <w:szCs w:val="21"/>
          <w:lang w:eastAsia="it-IT"/>
        </w:rPr>
        <w:t>) nella </w:t>
      </w:r>
      <w:hyperlink r:id="rId4" w:tgtFrame="_blank" w:history="1">
        <w:r w:rsidRPr="00951D55">
          <w:rPr>
            <w:rFonts w:ascii="Arial" w:eastAsia="Times New Roman" w:hAnsi="Arial" w:cs="Arial"/>
            <w:color w:val="005EB3"/>
            <w:sz w:val="21"/>
            <w:szCs w:val="21"/>
            <w:u w:val="single"/>
            <w:lang w:eastAsia="it-IT"/>
          </w:rPr>
          <w:t>Legge 52/2022</w:t>
        </w:r>
      </w:hyperlink>
      <w:r w:rsidRPr="00951D55">
        <w:rPr>
          <w:rFonts w:ascii="Arial" w:eastAsia="Times New Roman" w:hAnsi="Arial" w:cs="Arial"/>
          <w:color w:val="000000"/>
          <w:sz w:val="21"/>
          <w:szCs w:val="21"/>
          <w:lang w:eastAsia="it-IT"/>
        </w:rPr>
        <w:t> pubblicata in GU il 24 maggio 2022, ha prorogato/integrato </w:t>
      </w:r>
      <w:r w:rsidRPr="00951D55">
        <w:rPr>
          <w:rFonts w:ascii="Arial" w:eastAsia="Times New Roman" w:hAnsi="Arial" w:cs="Arial"/>
          <w:b/>
          <w:bCs/>
          <w:color w:val="000000"/>
          <w:sz w:val="21"/>
          <w:szCs w:val="21"/>
          <w:lang w:eastAsia="it-IT"/>
        </w:rPr>
        <w:t>le misure di tutela per i lavoratori fragili</w:t>
      </w:r>
      <w:r w:rsidRPr="00951D55">
        <w:rPr>
          <w:rFonts w:ascii="Arial" w:eastAsia="Times New Roman" w:hAnsi="Arial" w:cs="Arial"/>
          <w:color w:val="000000"/>
          <w:sz w:val="21"/>
          <w:szCs w:val="21"/>
          <w:lang w:eastAsia="it-IT"/>
        </w:rPr>
        <w:t>, pur con scadenze diversificate.</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All'art.10 - </w:t>
      </w:r>
      <w:r w:rsidRPr="00951D55">
        <w:rPr>
          <w:rFonts w:ascii="Arial" w:eastAsia="Times New Roman" w:hAnsi="Arial" w:cs="Arial"/>
          <w:i/>
          <w:iCs/>
          <w:color w:val="000000"/>
          <w:sz w:val="21"/>
          <w:szCs w:val="21"/>
          <w:lang w:eastAsia="it-IT"/>
        </w:rPr>
        <w:t>Proroga dei termini correlati alla pandemia di COVID-19</w:t>
      </w:r>
      <w:r w:rsidRPr="00951D55">
        <w:rPr>
          <w:rFonts w:ascii="Arial" w:eastAsia="Times New Roman" w:hAnsi="Arial" w:cs="Arial"/>
          <w:color w:val="000000"/>
          <w:sz w:val="21"/>
          <w:szCs w:val="21"/>
          <w:lang w:eastAsia="it-IT"/>
        </w:rPr>
        <w:t> è stato aggiunto, infatti, il comma 1-bis che prevede </w:t>
      </w:r>
      <w:r w:rsidRPr="00951D55">
        <w:rPr>
          <w:rFonts w:ascii="Arial" w:eastAsia="Times New Roman" w:hAnsi="Arial" w:cs="Arial"/>
          <w:b/>
          <w:bCs/>
          <w:color w:val="000000"/>
          <w:sz w:val="21"/>
          <w:szCs w:val="21"/>
          <w:lang w:eastAsia="it-IT"/>
        </w:rPr>
        <w:t>fino al 30 giugno 2022</w:t>
      </w:r>
      <w:r w:rsidRPr="00951D55">
        <w:rPr>
          <w:rFonts w:ascii="Arial" w:eastAsia="Times New Roman" w:hAnsi="Arial" w:cs="Arial"/>
          <w:color w:val="000000"/>
          <w:sz w:val="21"/>
          <w:szCs w:val="21"/>
          <w:lang w:eastAsia="it-IT"/>
        </w:rPr>
        <w:t xml:space="preserve"> l’assenza dal servizio equiparata al ricovero ospedaliero per i lavoratori fragili che non possono svolgere la prestazione in </w:t>
      </w:r>
      <w:proofErr w:type="spellStart"/>
      <w:r w:rsidRPr="00951D55">
        <w:rPr>
          <w:rFonts w:ascii="Arial" w:eastAsia="Times New Roman" w:hAnsi="Arial" w:cs="Arial"/>
          <w:color w:val="000000"/>
          <w:sz w:val="21"/>
          <w:szCs w:val="21"/>
          <w:lang w:eastAsia="it-IT"/>
        </w:rPr>
        <w:t>smart</w:t>
      </w:r>
      <w:proofErr w:type="spellEnd"/>
      <w:r w:rsidRPr="00951D55">
        <w:rPr>
          <w:rFonts w:ascii="Arial" w:eastAsia="Times New Roman" w:hAnsi="Arial" w:cs="Arial"/>
          <w:color w:val="000000"/>
          <w:sz w:val="21"/>
          <w:szCs w:val="21"/>
          <w:lang w:eastAsia="it-IT"/>
        </w:rPr>
        <w:t xml:space="preserve"> </w:t>
      </w:r>
      <w:proofErr w:type="spellStart"/>
      <w:r w:rsidRPr="00951D55">
        <w:rPr>
          <w:rFonts w:ascii="Arial" w:eastAsia="Times New Roman" w:hAnsi="Arial" w:cs="Arial"/>
          <w:color w:val="000000"/>
          <w:sz w:val="21"/>
          <w:szCs w:val="21"/>
          <w:lang w:eastAsia="it-IT"/>
        </w:rPr>
        <w:t>working</w:t>
      </w:r>
      <w:proofErr w:type="spellEnd"/>
      <w:r w:rsidRPr="00951D55">
        <w:rPr>
          <w:rFonts w:ascii="Arial" w:eastAsia="Times New Roman" w:hAnsi="Arial" w:cs="Arial"/>
          <w:color w:val="000000"/>
          <w:sz w:val="21"/>
          <w:szCs w:val="21"/>
          <w:lang w:eastAsia="it-IT"/>
        </w:rPr>
        <w:t>. Si tratta di soggetti </w:t>
      </w:r>
      <w:r w:rsidRPr="00951D55">
        <w:rPr>
          <w:rFonts w:ascii="Arial" w:eastAsia="Times New Roman" w:hAnsi="Arial" w:cs="Arial"/>
          <w:b/>
          <w:bCs/>
          <w:color w:val="000000"/>
          <w:sz w:val="21"/>
          <w:szCs w:val="21"/>
          <w:lang w:eastAsia="it-IT"/>
        </w:rPr>
        <w:t>affetti da specifiche patologie croniche</w:t>
      </w:r>
      <w:r w:rsidRPr="00951D55">
        <w:rPr>
          <w:rFonts w:ascii="Arial" w:eastAsia="Times New Roman" w:hAnsi="Arial" w:cs="Arial"/>
          <w:color w:val="000000"/>
          <w:sz w:val="21"/>
          <w:szCs w:val="21"/>
          <w:lang w:eastAsia="it-IT"/>
        </w:rPr>
        <w:t> con scarso compenso clinico e con particolare connotazione di gravità, individuate nel </w:t>
      </w:r>
      <w:hyperlink r:id="rId5" w:tgtFrame="_blank" w:history="1">
        <w:r w:rsidRPr="00951D55">
          <w:rPr>
            <w:rFonts w:ascii="Arial" w:eastAsia="Times New Roman" w:hAnsi="Arial" w:cs="Arial"/>
            <w:color w:val="005EB3"/>
            <w:sz w:val="21"/>
            <w:szCs w:val="21"/>
            <w:u w:val="single"/>
            <w:lang w:eastAsia="it-IT"/>
          </w:rPr>
          <w:t>Decreto del Ministero della Salute del 4 febbraio 2022</w:t>
        </w:r>
      </w:hyperlink>
      <w:r w:rsidRPr="00951D55">
        <w:rPr>
          <w:rFonts w:ascii="Arial" w:eastAsia="Times New Roman" w:hAnsi="Arial" w:cs="Arial"/>
          <w:color w:val="000000"/>
          <w:sz w:val="21"/>
          <w:szCs w:val="21"/>
          <w:lang w:eastAsia="it-IT"/>
        </w:rPr>
        <w:t>.</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Il provvedimento stabilisce, in via ordinaria, il </w:t>
      </w:r>
      <w:r w:rsidRPr="00951D55">
        <w:rPr>
          <w:rFonts w:ascii="Arial" w:eastAsia="Times New Roman" w:hAnsi="Arial" w:cs="Arial"/>
          <w:b/>
          <w:bCs/>
          <w:color w:val="000000"/>
          <w:sz w:val="21"/>
          <w:szCs w:val="21"/>
          <w:lang w:eastAsia="it-IT"/>
        </w:rPr>
        <w:t>diritto a svolgere la prestazione in modalità agile</w:t>
      </w:r>
      <w:r w:rsidRPr="00951D55">
        <w:rPr>
          <w:rFonts w:ascii="Arial" w:eastAsia="Times New Roman" w:hAnsi="Arial" w:cs="Arial"/>
          <w:color w:val="000000"/>
          <w:sz w:val="21"/>
          <w:szCs w:val="21"/>
          <w:lang w:eastAsia="it-IT"/>
        </w:rPr>
        <w:t> o l'eventuale </w:t>
      </w:r>
      <w:r w:rsidRPr="00951D55">
        <w:rPr>
          <w:rFonts w:ascii="Arial" w:eastAsia="Times New Roman" w:hAnsi="Arial" w:cs="Arial"/>
          <w:b/>
          <w:bCs/>
          <w:color w:val="000000"/>
          <w:sz w:val="21"/>
          <w:szCs w:val="21"/>
          <w:lang w:eastAsia="it-IT"/>
        </w:rPr>
        <w:t>adibizione ad altra mansione</w:t>
      </w:r>
      <w:r w:rsidRPr="00951D55">
        <w:rPr>
          <w:rFonts w:ascii="Arial" w:eastAsia="Times New Roman" w:hAnsi="Arial" w:cs="Arial"/>
          <w:color w:val="000000"/>
          <w:sz w:val="21"/>
          <w:szCs w:val="21"/>
          <w:lang w:eastAsia="it-IT"/>
        </w:rPr>
        <w:t> oppure lo svolgimento di </w:t>
      </w:r>
      <w:r w:rsidRPr="00951D55">
        <w:rPr>
          <w:rFonts w:ascii="Arial" w:eastAsia="Times New Roman" w:hAnsi="Arial" w:cs="Arial"/>
          <w:b/>
          <w:bCs/>
          <w:color w:val="000000"/>
          <w:sz w:val="21"/>
          <w:szCs w:val="21"/>
          <w:lang w:eastAsia="it-IT"/>
        </w:rPr>
        <w:t>attività di formazione</w:t>
      </w:r>
      <w:r w:rsidRPr="00951D55">
        <w:rPr>
          <w:rFonts w:ascii="Arial" w:eastAsia="Times New Roman" w:hAnsi="Arial" w:cs="Arial"/>
          <w:color w:val="000000"/>
          <w:sz w:val="21"/>
          <w:szCs w:val="21"/>
          <w:lang w:eastAsia="it-IT"/>
        </w:rPr>
        <w:t> anche da remoto. Solo laddove </w:t>
      </w:r>
      <w:r w:rsidRPr="00951D55">
        <w:rPr>
          <w:rFonts w:ascii="Arial" w:eastAsia="Times New Roman" w:hAnsi="Arial" w:cs="Arial"/>
          <w:b/>
          <w:bCs/>
          <w:color w:val="000000"/>
          <w:sz w:val="21"/>
          <w:szCs w:val="21"/>
          <w:lang w:eastAsia="it-IT"/>
        </w:rPr>
        <w:t>non sia possibile adeguare il lavoro</w:t>
      </w:r>
      <w:r w:rsidRPr="00951D55">
        <w:rPr>
          <w:rFonts w:ascii="Arial" w:eastAsia="Times New Roman" w:hAnsi="Arial" w:cs="Arial"/>
          <w:color w:val="000000"/>
          <w:sz w:val="21"/>
          <w:szCs w:val="21"/>
          <w:lang w:eastAsia="it-IT"/>
        </w:rPr>
        <w:t> a queste modalità, coloro che si trovino in condizione di fragilità secondo quanto sopra riportato, possono fruire di periodi di assenza per malattia con </w:t>
      </w:r>
      <w:r w:rsidRPr="00951D55">
        <w:rPr>
          <w:rFonts w:ascii="Arial" w:eastAsia="Times New Roman" w:hAnsi="Arial" w:cs="Arial"/>
          <w:b/>
          <w:bCs/>
          <w:color w:val="000000"/>
          <w:sz w:val="21"/>
          <w:szCs w:val="21"/>
          <w:lang w:eastAsia="it-IT"/>
        </w:rPr>
        <w:t>equiparazione al ricovero ospedaliero</w:t>
      </w:r>
      <w:r w:rsidRPr="00951D55">
        <w:rPr>
          <w:rFonts w:ascii="Arial" w:eastAsia="Times New Roman" w:hAnsi="Arial" w:cs="Arial"/>
          <w:color w:val="000000"/>
          <w:sz w:val="21"/>
          <w:szCs w:val="21"/>
          <w:lang w:eastAsia="it-IT"/>
        </w:rPr>
        <w:t>.</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Di fatto, </w:t>
      </w:r>
      <w:hyperlink r:id="rId6" w:tgtFrame="_blank" w:history="1">
        <w:r w:rsidRPr="00951D55">
          <w:rPr>
            <w:rFonts w:ascii="Arial" w:eastAsia="Times New Roman" w:hAnsi="Arial" w:cs="Arial"/>
            <w:color w:val="005EB3"/>
            <w:sz w:val="21"/>
            <w:szCs w:val="21"/>
            <w:u w:val="single"/>
            <w:lang w:eastAsia="it-IT"/>
          </w:rPr>
          <w:t>si dà continuità</w:t>
        </w:r>
      </w:hyperlink>
      <w:r w:rsidRPr="00951D55">
        <w:rPr>
          <w:rFonts w:ascii="Arial" w:eastAsia="Times New Roman" w:hAnsi="Arial" w:cs="Arial"/>
          <w:color w:val="000000"/>
          <w:sz w:val="21"/>
          <w:szCs w:val="21"/>
          <w:lang w:eastAsia="it-IT"/>
        </w:rPr>
        <w:t> ai benefici già previsti e rinnovati fino alla scadenza dell'emergenza sanitaria del 31 marzo 2022.</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Il testo della L.52/2022, però, lascia il dubbio se la connotazione di </w:t>
      </w:r>
      <w:r w:rsidRPr="00951D55">
        <w:rPr>
          <w:rFonts w:ascii="Arial" w:eastAsia="Times New Roman" w:hAnsi="Arial" w:cs="Arial"/>
          <w:i/>
          <w:iCs/>
          <w:color w:val="000000"/>
          <w:sz w:val="21"/>
          <w:szCs w:val="21"/>
          <w:lang w:eastAsia="it-IT"/>
        </w:rPr>
        <w:t>“lavoratore fragile”</w:t>
      </w:r>
      <w:r w:rsidRPr="00951D55">
        <w:rPr>
          <w:rFonts w:ascii="Arial" w:eastAsia="Times New Roman" w:hAnsi="Arial" w:cs="Arial"/>
          <w:color w:val="000000"/>
          <w:sz w:val="21"/>
          <w:szCs w:val="21"/>
          <w:lang w:eastAsia="it-IT"/>
        </w:rPr>
        <w:t> di cui al DM 4 febbraio 2022 vada ad integrare o a sostituire quella “consolidata” dell'art.26 c.2 del </w:t>
      </w:r>
      <w:hyperlink r:id="rId7" w:tgtFrame="_blank" w:history="1">
        <w:r w:rsidRPr="00951D55">
          <w:rPr>
            <w:rFonts w:ascii="Arial" w:eastAsia="Times New Roman" w:hAnsi="Arial" w:cs="Arial"/>
            <w:color w:val="005EB3"/>
            <w:sz w:val="21"/>
            <w:szCs w:val="21"/>
            <w:u w:val="single"/>
            <w:lang w:eastAsia="it-IT"/>
          </w:rPr>
          <w:t>DL 18/2020</w:t>
        </w:r>
      </w:hyperlink>
      <w:r w:rsidRPr="00951D55">
        <w:rPr>
          <w:rFonts w:ascii="Arial" w:eastAsia="Times New Roman" w:hAnsi="Arial" w:cs="Arial"/>
          <w:color w:val="000000"/>
          <w:sz w:val="21"/>
          <w:szCs w:val="21"/>
          <w:lang w:eastAsia="it-IT"/>
        </w:rPr>
        <w:t> e successive modificazioni, caratterizzata da </w:t>
      </w:r>
      <w:r w:rsidRPr="00951D55">
        <w:rPr>
          <w:rFonts w:ascii="Arial" w:eastAsia="Times New Roman" w:hAnsi="Arial" w:cs="Arial"/>
          <w:i/>
          <w:iCs/>
          <w:color w:val="000000"/>
          <w:sz w:val="21"/>
          <w:szCs w:val="21"/>
          <w:lang w:eastAsia="it-IT"/>
        </w:rPr>
        <w:t>condizione di rischio derivante da immunodepressione o da esiti da patologie oncologiche o dallo svolgimento di relative terapie salvavita, nonché il riconoscimento di disabilità grave art. 3, comma 3, L. 5 febbraio 1992, n. 104</w:t>
      </w:r>
      <w:r w:rsidRPr="00951D55">
        <w:rPr>
          <w:rFonts w:ascii="Arial" w:eastAsia="Times New Roman" w:hAnsi="Arial" w:cs="Arial"/>
          <w:color w:val="000000"/>
          <w:sz w:val="21"/>
          <w:szCs w:val="21"/>
          <w:lang w:eastAsia="it-IT"/>
        </w:rPr>
        <w:t>.</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Il </w:t>
      </w:r>
      <w:hyperlink r:id="rId8" w:history="1">
        <w:r w:rsidRPr="00951D55">
          <w:rPr>
            <w:rFonts w:ascii="Arial" w:eastAsia="Times New Roman" w:hAnsi="Arial" w:cs="Arial"/>
            <w:color w:val="005EB3"/>
            <w:sz w:val="21"/>
            <w:szCs w:val="21"/>
            <w:u w:val="single"/>
            <w:lang w:eastAsia="it-IT"/>
          </w:rPr>
          <w:t>chiarimento</w:t>
        </w:r>
      </w:hyperlink>
      <w:r w:rsidRPr="00951D55">
        <w:rPr>
          <w:rFonts w:ascii="Arial" w:eastAsia="Times New Roman" w:hAnsi="Arial" w:cs="Arial"/>
          <w:color w:val="000000"/>
          <w:sz w:val="21"/>
          <w:szCs w:val="21"/>
          <w:lang w:eastAsia="it-IT"/>
        </w:rPr>
        <w:t> pubblicato sul sito del Ministero del Lavoro e delle Politiche Sociali, dà credito alla lettura estensiva che ci si aspettava, ovvero all'integrazione di </w:t>
      </w:r>
      <w:r w:rsidRPr="00951D55">
        <w:rPr>
          <w:rFonts w:ascii="Arial" w:eastAsia="Times New Roman" w:hAnsi="Arial" w:cs="Arial"/>
          <w:b/>
          <w:bCs/>
          <w:color w:val="000000"/>
          <w:sz w:val="21"/>
          <w:szCs w:val="21"/>
          <w:lang w:eastAsia="it-IT"/>
        </w:rPr>
        <w:t>tutte le patologie nel provvedimento</w:t>
      </w:r>
      <w:r w:rsidRPr="00951D55">
        <w:rPr>
          <w:rFonts w:ascii="Arial" w:eastAsia="Times New Roman" w:hAnsi="Arial" w:cs="Arial"/>
          <w:color w:val="000000"/>
          <w:sz w:val="21"/>
          <w:szCs w:val="21"/>
          <w:lang w:eastAsia="it-IT"/>
        </w:rPr>
        <w:t> grazie alla quale vengono assicurate le particolari tutele fino al </w:t>
      </w:r>
      <w:r w:rsidRPr="00951D55">
        <w:rPr>
          <w:rFonts w:ascii="Arial" w:eastAsia="Times New Roman" w:hAnsi="Arial" w:cs="Arial"/>
          <w:b/>
          <w:bCs/>
          <w:color w:val="000000"/>
          <w:sz w:val="21"/>
          <w:szCs w:val="21"/>
          <w:lang w:eastAsia="it-IT"/>
        </w:rPr>
        <w:t>30 giugno 2022</w:t>
      </w:r>
      <w:r w:rsidRPr="00951D55">
        <w:rPr>
          <w:rFonts w:ascii="Arial" w:eastAsia="Times New Roman" w:hAnsi="Arial" w:cs="Arial"/>
          <w:color w:val="000000"/>
          <w:sz w:val="21"/>
          <w:szCs w:val="21"/>
          <w:lang w:eastAsia="it-IT"/>
        </w:rPr>
        <w:t>.</w:t>
      </w:r>
    </w:p>
    <w:p w:rsidR="00951D55" w:rsidRPr="00951D55" w:rsidRDefault="00951D55" w:rsidP="00951D55">
      <w:pPr>
        <w:shd w:val="clear" w:color="auto" w:fill="FFFFFF"/>
        <w:spacing w:after="225" w:line="240" w:lineRule="auto"/>
        <w:jc w:val="both"/>
        <w:rPr>
          <w:rFonts w:ascii="Arial" w:eastAsia="Times New Roman" w:hAnsi="Arial" w:cs="Arial"/>
          <w:color w:val="000000"/>
          <w:sz w:val="21"/>
          <w:szCs w:val="21"/>
          <w:lang w:eastAsia="it-IT"/>
        </w:rPr>
      </w:pPr>
      <w:r w:rsidRPr="00951D55">
        <w:rPr>
          <w:rFonts w:ascii="Arial" w:eastAsia="Times New Roman" w:hAnsi="Arial" w:cs="Arial"/>
          <w:color w:val="000000"/>
          <w:sz w:val="21"/>
          <w:szCs w:val="21"/>
          <w:lang w:eastAsia="it-IT"/>
        </w:rPr>
        <w:t>Per quanto riguarda la </w:t>
      </w:r>
      <w:r w:rsidRPr="00951D55">
        <w:rPr>
          <w:rFonts w:ascii="Arial" w:eastAsia="Times New Roman" w:hAnsi="Arial" w:cs="Arial"/>
          <w:b/>
          <w:bCs/>
          <w:color w:val="000000"/>
          <w:sz w:val="21"/>
          <w:szCs w:val="21"/>
          <w:lang w:eastAsia="it-IT"/>
        </w:rPr>
        <w:t>sorveglianza sanitaria</w:t>
      </w:r>
      <w:r w:rsidRPr="00951D55">
        <w:rPr>
          <w:rFonts w:ascii="Arial" w:eastAsia="Times New Roman" w:hAnsi="Arial" w:cs="Arial"/>
          <w:color w:val="000000"/>
          <w:sz w:val="21"/>
          <w:szCs w:val="21"/>
          <w:lang w:eastAsia="it-IT"/>
        </w:rPr>
        <w:t> per i lavoratori del comparto pubblico, che nella </w:t>
      </w:r>
      <w:hyperlink r:id="rId9" w:tgtFrame="_blank" w:history="1">
        <w:r w:rsidRPr="00951D55">
          <w:rPr>
            <w:rFonts w:ascii="Arial" w:eastAsia="Times New Roman" w:hAnsi="Arial" w:cs="Arial"/>
            <w:color w:val="005EB3"/>
            <w:sz w:val="21"/>
            <w:szCs w:val="21"/>
            <w:u w:val="single"/>
            <w:lang w:eastAsia="it-IT"/>
          </w:rPr>
          <w:t>scuola</w:t>
        </w:r>
      </w:hyperlink>
      <w:r w:rsidRPr="00951D55">
        <w:rPr>
          <w:rFonts w:ascii="Arial" w:eastAsia="Times New Roman" w:hAnsi="Arial" w:cs="Arial"/>
          <w:color w:val="000000"/>
          <w:sz w:val="21"/>
          <w:szCs w:val="21"/>
          <w:lang w:eastAsia="it-IT"/>
        </w:rPr>
        <w:t> si attua attraverso il giudizio del medico competente, le disposizioni si applicano </w:t>
      </w:r>
      <w:r w:rsidRPr="00951D55">
        <w:rPr>
          <w:rFonts w:ascii="Arial" w:eastAsia="Times New Roman" w:hAnsi="Arial" w:cs="Arial"/>
          <w:b/>
          <w:bCs/>
          <w:color w:val="000000"/>
          <w:sz w:val="21"/>
          <w:szCs w:val="21"/>
          <w:lang w:eastAsia="it-IT"/>
        </w:rPr>
        <w:t>fino al 31 luglio 2022</w:t>
      </w:r>
      <w:r w:rsidRPr="00951D55">
        <w:rPr>
          <w:rFonts w:ascii="Arial" w:eastAsia="Times New Roman" w:hAnsi="Arial" w:cs="Arial"/>
          <w:color w:val="000000"/>
          <w:sz w:val="21"/>
          <w:szCs w:val="21"/>
          <w:lang w:eastAsia="it-IT"/>
        </w:rPr>
        <w:t>.</w:t>
      </w:r>
      <w:bookmarkEnd w:id="0"/>
    </w:p>
    <w:sectPr w:rsidR="00951D55" w:rsidRPr="00951D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55"/>
    <w:rsid w:val="004C6466"/>
    <w:rsid w:val="00951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7C80"/>
  <w15:chartTrackingRefBased/>
  <w15:docId w15:val="{23B1F0E0-9382-421B-B8BB-4DF6139D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40746">
      <w:bodyDiv w:val="1"/>
      <w:marLeft w:val="0"/>
      <w:marRight w:val="0"/>
      <w:marTop w:val="0"/>
      <w:marBottom w:val="0"/>
      <w:divBdr>
        <w:top w:val="none" w:sz="0" w:space="0" w:color="auto"/>
        <w:left w:val="none" w:sz="0" w:space="0" w:color="auto"/>
        <w:bottom w:val="none" w:sz="0" w:space="0" w:color="auto"/>
        <w:right w:val="none" w:sz="0" w:space="0" w:color="auto"/>
      </w:divBdr>
      <w:divsChild>
        <w:div w:id="2040620120">
          <w:marLeft w:val="0"/>
          <w:marRight w:val="0"/>
          <w:marTop w:val="150"/>
          <w:marBottom w:val="150"/>
          <w:divBdr>
            <w:top w:val="none" w:sz="0" w:space="0" w:color="auto"/>
            <w:left w:val="none" w:sz="0" w:space="0" w:color="auto"/>
            <w:bottom w:val="single" w:sz="6" w:space="0" w:color="CCCCCC"/>
            <w:right w:val="none" w:sz="0" w:space="0" w:color="auto"/>
          </w:divBdr>
          <w:divsChild>
            <w:div w:id="108470561">
              <w:marLeft w:val="0"/>
              <w:marRight w:val="0"/>
              <w:marTop w:val="0"/>
              <w:marBottom w:val="0"/>
              <w:divBdr>
                <w:top w:val="none" w:sz="0" w:space="0" w:color="auto"/>
                <w:left w:val="none" w:sz="0" w:space="0" w:color="auto"/>
                <w:bottom w:val="none" w:sz="0" w:space="0" w:color="auto"/>
                <w:right w:val="none" w:sz="0" w:space="0" w:color="auto"/>
              </w:divBdr>
            </w:div>
          </w:divsChild>
        </w:div>
        <w:div w:id="26563112">
          <w:marLeft w:val="0"/>
          <w:marRight w:val="0"/>
          <w:marTop w:val="0"/>
          <w:marBottom w:val="0"/>
          <w:divBdr>
            <w:top w:val="none" w:sz="0" w:space="0" w:color="auto"/>
            <w:left w:val="none" w:sz="0" w:space="0" w:color="auto"/>
            <w:bottom w:val="none" w:sz="0" w:space="0" w:color="auto"/>
            <w:right w:val="none" w:sz="0" w:space="0" w:color="auto"/>
          </w:divBdr>
          <w:divsChild>
            <w:div w:id="561252292">
              <w:marLeft w:val="0"/>
              <w:marRight w:val="0"/>
              <w:marTop w:val="0"/>
              <w:marBottom w:val="0"/>
              <w:divBdr>
                <w:top w:val="none" w:sz="0" w:space="0" w:color="auto"/>
                <w:left w:val="none" w:sz="0" w:space="0" w:color="auto"/>
                <w:bottom w:val="none" w:sz="0" w:space="0" w:color="auto"/>
                <w:right w:val="none" w:sz="0" w:space="0" w:color="auto"/>
              </w:divBdr>
            </w:div>
            <w:div w:id="1725328284">
              <w:marLeft w:val="300"/>
              <w:marRight w:val="150"/>
              <w:marTop w:val="75"/>
              <w:marBottom w:val="0"/>
              <w:divBdr>
                <w:top w:val="none" w:sz="0" w:space="0" w:color="auto"/>
                <w:left w:val="none" w:sz="0" w:space="0" w:color="auto"/>
                <w:bottom w:val="none" w:sz="0" w:space="0" w:color="auto"/>
                <w:right w:val="none" w:sz="0" w:space="0" w:color="auto"/>
              </w:divBdr>
            </w:div>
            <w:div w:id="1516991036">
              <w:marLeft w:val="300"/>
              <w:marRight w:val="150"/>
              <w:marTop w:val="75"/>
              <w:marBottom w:val="0"/>
              <w:divBdr>
                <w:top w:val="none" w:sz="0" w:space="0" w:color="auto"/>
                <w:left w:val="none" w:sz="0" w:space="0" w:color="auto"/>
                <w:bottom w:val="none" w:sz="0" w:space="0" w:color="auto"/>
                <w:right w:val="none" w:sz="0" w:space="0" w:color="auto"/>
              </w:divBdr>
            </w:div>
          </w:divsChild>
        </w:div>
        <w:div w:id="1472481758">
          <w:marLeft w:val="0"/>
          <w:marRight w:val="0"/>
          <w:marTop w:val="75"/>
          <w:marBottom w:val="150"/>
          <w:divBdr>
            <w:top w:val="none" w:sz="0" w:space="0" w:color="auto"/>
            <w:left w:val="none" w:sz="0" w:space="0" w:color="auto"/>
            <w:bottom w:val="none" w:sz="0" w:space="0" w:color="auto"/>
            <w:right w:val="none" w:sz="0" w:space="0" w:color="auto"/>
          </w:divBdr>
        </w:div>
        <w:div w:id="1924486104">
          <w:marLeft w:val="0"/>
          <w:marRight w:val="0"/>
          <w:marTop w:val="0"/>
          <w:marBottom w:val="0"/>
          <w:divBdr>
            <w:top w:val="none" w:sz="0" w:space="0" w:color="auto"/>
            <w:left w:val="none" w:sz="0" w:space="0" w:color="auto"/>
            <w:bottom w:val="none" w:sz="0" w:space="0" w:color="auto"/>
            <w:right w:val="none" w:sz="0" w:space="0" w:color="auto"/>
          </w:divBdr>
          <w:divsChild>
            <w:div w:id="1722442938">
              <w:marLeft w:val="0"/>
              <w:marRight w:val="0"/>
              <w:marTop w:val="0"/>
              <w:marBottom w:val="0"/>
              <w:divBdr>
                <w:top w:val="none" w:sz="0" w:space="0" w:color="auto"/>
                <w:left w:val="none" w:sz="0" w:space="0" w:color="auto"/>
                <w:bottom w:val="none" w:sz="0" w:space="0" w:color="auto"/>
                <w:right w:val="none" w:sz="0" w:space="0" w:color="auto"/>
              </w:divBdr>
            </w:div>
            <w:div w:id="1461536159">
              <w:marLeft w:val="300"/>
              <w:marRight w:val="150"/>
              <w:marTop w:val="75"/>
              <w:marBottom w:val="0"/>
              <w:divBdr>
                <w:top w:val="none" w:sz="0" w:space="0" w:color="auto"/>
                <w:left w:val="none" w:sz="0" w:space="0" w:color="auto"/>
                <w:bottom w:val="none" w:sz="0" w:space="0" w:color="auto"/>
                <w:right w:val="none" w:sz="0" w:space="0" w:color="auto"/>
              </w:divBdr>
            </w:div>
            <w:div w:id="204682200">
              <w:marLeft w:val="300"/>
              <w:marRight w:val="150"/>
              <w:marTop w:val="75"/>
              <w:marBottom w:val="0"/>
              <w:divBdr>
                <w:top w:val="none" w:sz="0" w:space="0" w:color="auto"/>
                <w:left w:val="none" w:sz="0" w:space="0" w:color="auto"/>
                <w:bottom w:val="none" w:sz="0" w:space="0" w:color="auto"/>
                <w:right w:val="none" w:sz="0" w:space="0" w:color="auto"/>
              </w:divBdr>
            </w:div>
          </w:divsChild>
        </w:div>
        <w:div w:id="520897151">
          <w:marLeft w:val="0"/>
          <w:marRight w:val="0"/>
          <w:marTop w:val="150"/>
          <w:marBottom w:val="0"/>
          <w:divBdr>
            <w:top w:val="none" w:sz="0" w:space="0" w:color="auto"/>
            <w:left w:val="none" w:sz="0" w:space="0" w:color="auto"/>
            <w:bottom w:val="none" w:sz="0" w:space="0" w:color="auto"/>
            <w:right w:val="none" w:sz="0" w:space="0" w:color="auto"/>
          </w:divBdr>
          <w:divsChild>
            <w:div w:id="9419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ro.gov.it/notizie/pagine/covid-19-e-smart-working-proroga-delle-misure.aspx/" TargetMode="External"/><Relationship Id="rId3" Type="http://schemas.openxmlformats.org/officeDocument/2006/relationships/webSettings" Target="webSettings.xml"/><Relationship Id="rId7" Type="http://schemas.openxmlformats.org/officeDocument/2006/relationships/hyperlink" Target="http://www.flcgil.it/leggi-normative/documenti/decreti-legge/decreto-legge-18-del-17-marzo-2020-curaitalia-emergenza-epidemiologica-covid-19.fl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cgil.it/scuola/lavoratori-fragili-della-scuola-dopo-il-1-aprile-2022.flc" TargetMode="External"/><Relationship Id="rId11" Type="http://schemas.openxmlformats.org/officeDocument/2006/relationships/theme" Target="theme/theme1.xml"/><Relationship Id="rId5" Type="http://schemas.openxmlformats.org/officeDocument/2006/relationships/hyperlink" Target="https://www.gazzettaufficiale.it/eli/id/2022/02/11/22A01023/sg" TargetMode="External"/><Relationship Id="rId10" Type="http://schemas.openxmlformats.org/officeDocument/2006/relationships/fontTable" Target="fontTable.xml"/><Relationship Id="rId4" Type="http://schemas.openxmlformats.org/officeDocument/2006/relationships/hyperlink" Target="http://www.gazzettaufficiale.it/eli/id/2022/05/23/22G00063/sg" TargetMode="External"/><Relationship Id="rId9" Type="http://schemas.openxmlformats.org/officeDocument/2006/relationships/hyperlink" Target="http://www.flcgil.it/scuola/il-punto-sui-lavoratori-fragili-e-loro-possibile-utilizzo.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2022-05-27T06:51:00Z</dcterms:created>
  <dcterms:modified xsi:type="dcterms:W3CDTF">2022-05-27T06:53:00Z</dcterms:modified>
</cp:coreProperties>
</file>