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84F" w:rsidRPr="006D384F" w:rsidRDefault="006D384F" w:rsidP="006D384F">
      <w:pPr>
        <w:shd w:val="clear" w:color="auto" w:fill="FFFFFF"/>
        <w:spacing w:after="0" w:line="525" w:lineRule="atLeast"/>
        <w:outlineLvl w:val="0"/>
        <w:rPr>
          <w:rFonts w:ascii="Tahoma" w:eastAsia="Times New Roman" w:hAnsi="Tahoma" w:cs="Tahoma"/>
          <w:color w:val="DC3B33"/>
          <w:kern w:val="36"/>
          <w:sz w:val="45"/>
          <w:szCs w:val="45"/>
          <w:lang w:eastAsia="it-IT"/>
        </w:rPr>
      </w:pPr>
      <w:r w:rsidRPr="006D384F">
        <w:rPr>
          <w:rFonts w:ascii="Tahoma" w:eastAsia="Times New Roman" w:hAnsi="Tahoma" w:cs="Tahoma"/>
          <w:color w:val="DC3B33"/>
          <w:kern w:val="36"/>
          <w:sz w:val="45"/>
          <w:szCs w:val="45"/>
          <w:lang w:eastAsia="it-IT"/>
        </w:rPr>
        <w:t>Concorso straordinario-bis: il bando è in Gazzetta Ufficiale. Le domande entro il 16 giugno</w:t>
      </w:r>
    </w:p>
    <w:p w:rsidR="006D384F" w:rsidRPr="006D384F" w:rsidRDefault="006D384F" w:rsidP="006D384F">
      <w:pPr>
        <w:shd w:val="clear" w:color="auto" w:fill="FFFFFF"/>
        <w:spacing w:before="75" w:after="75" w:line="240" w:lineRule="auto"/>
        <w:outlineLvl w:val="3"/>
        <w:rPr>
          <w:rFonts w:ascii="Arial" w:eastAsia="Times New Roman" w:hAnsi="Arial" w:cs="Arial"/>
          <w:color w:val="535353"/>
          <w:sz w:val="27"/>
          <w:szCs w:val="27"/>
          <w:lang w:eastAsia="it-IT"/>
        </w:rPr>
      </w:pPr>
      <w:r w:rsidRPr="006D384F">
        <w:rPr>
          <w:rFonts w:ascii="Arial" w:eastAsia="Times New Roman" w:hAnsi="Arial" w:cs="Arial"/>
          <w:color w:val="535353"/>
          <w:sz w:val="27"/>
          <w:szCs w:val="27"/>
          <w:lang w:eastAsia="it-IT"/>
        </w:rPr>
        <w:t>Una tassa di 128 euro per partecipare, nessuna graduatoria per i non vincitori, troppe criticità. Esclusi i docenti assunti da GPS 1 fascia.</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bookmarkStart w:id="0" w:name="_GoBack"/>
      <w:bookmarkEnd w:id="0"/>
      <w:r w:rsidRPr="006D384F">
        <w:rPr>
          <w:rFonts w:ascii="Arial" w:eastAsia="Times New Roman" w:hAnsi="Arial" w:cs="Arial"/>
          <w:b/>
          <w:bCs/>
          <w:color w:val="000000"/>
          <w:sz w:val="21"/>
          <w:szCs w:val="21"/>
          <w:lang w:eastAsia="it-IT"/>
        </w:rPr>
        <w:t>Tempi di presentazione dell’istanza di iscrizione:</w:t>
      </w:r>
      <w:r w:rsidRPr="006D384F">
        <w:rPr>
          <w:rFonts w:ascii="Arial" w:eastAsia="Times New Roman" w:hAnsi="Arial" w:cs="Arial"/>
          <w:color w:val="000000"/>
          <w:sz w:val="21"/>
          <w:szCs w:val="21"/>
          <w:lang w:eastAsia="it-IT"/>
        </w:rPr>
        <w:t> dalle ore 9.00 del 18 maggio alle ore 23.59 del 16 giugno</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Contributo di segreteria pari a 128 euro: </w:t>
      </w:r>
      <w:r w:rsidRPr="006D384F">
        <w:rPr>
          <w:rFonts w:ascii="Arial" w:eastAsia="Times New Roman" w:hAnsi="Arial" w:cs="Arial"/>
          <w:color w:val="000000"/>
          <w:sz w:val="21"/>
          <w:szCs w:val="21"/>
          <w:lang w:eastAsia="it-IT"/>
        </w:rPr>
        <w:t>il Ministero ha definito questo importo per iscriversi alla procedura.  La norma, l’articolo 59, comma 9 bis, del decreto-legge 25 maggio 2021, n. 73, prevede infatti che il bando determini il contributo per l’integrale copertura dei costi di svolgimento del concorso. Infatti la legge che ha istituito il concorso ha posto i costi totalmente a carico dei partecipanti.</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Presentazione delle domande: </w:t>
      </w:r>
      <w:r w:rsidRPr="006D384F">
        <w:rPr>
          <w:rFonts w:ascii="Arial" w:eastAsia="Times New Roman" w:hAnsi="Arial" w:cs="Arial"/>
          <w:color w:val="000000"/>
          <w:sz w:val="21"/>
          <w:szCs w:val="21"/>
          <w:lang w:eastAsia="it-IT"/>
        </w:rPr>
        <w:t>i candidati presentano istanza di partecipazione in modalità telematica, attraverso l'applicazione «Piattaforma concorsi e procedure selettive» con le credenziali SPID o un’utenza valida per il servizio «Istanze on-line (POLIS)». Percorso per accedere: dal sito del MI </w:t>
      </w:r>
      <w:hyperlink r:id="rId4" w:tgtFrame="_blank" w:history="1">
        <w:r w:rsidRPr="006D384F">
          <w:rPr>
            <w:rFonts w:ascii="Arial" w:eastAsia="Times New Roman" w:hAnsi="Arial" w:cs="Arial"/>
            <w:color w:val="005EB3"/>
            <w:sz w:val="21"/>
            <w:szCs w:val="21"/>
            <w:u w:val="single"/>
            <w:lang w:eastAsia="it-IT"/>
          </w:rPr>
          <w:t>www.miur.gov.it</w:t>
        </w:r>
      </w:hyperlink>
      <w:r w:rsidRPr="006D384F">
        <w:rPr>
          <w:rFonts w:ascii="Arial" w:eastAsia="Times New Roman" w:hAnsi="Arial" w:cs="Arial"/>
          <w:color w:val="000000"/>
          <w:sz w:val="21"/>
          <w:szCs w:val="21"/>
          <w:lang w:eastAsia="it-IT"/>
        </w:rPr>
        <w:t> attraverso il percorso Ministero &gt; concorsi &gt; personale docente&gt; concorso straordinario  comma  9-bis o, in alternativa, direttamente alla piattaforma  attraverso  il  percorso argomenti e servizi &gt; servizi &gt; lettera P &gt; piattaforma concorsi e procedure selettive, vai al servizio.</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Posti: </w:t>
      </w:r>
      <w:r w:rsidRPr="006D384F">
        <w:rPr>
          <w:rFonts w:ascii="Arial" w:eastAsia="Times New Roman" w:hAnsi="Arial" w:cs="Arial"/>
          <w:color w:val="000000"/>
          <w:sz w:val="21"/>
          <w:szCs w:val="21"/>
          <w:lang w:eastAsia="it-IT"/>
        </w:rPr>
        <w:t>sono quelli vacanti e disponibili per l'anno scolastico 2021/2022. A </w:t>
      </w:r>
      <w:hyperlink r:id="rId5" w:tgtFrame="_blank" w:history="1">
        <w:r w:rsidRPr="006D384F">
          <w:rPr>
            <w:rFonts w:ascii="Arial" w:eastAsia="Times New Roman" w:hAnsi="Arial" w:cs="Arial"/>
            <w:color w:val="005EB3"/>
            <w:sz w:val="21"/>
            <w:szCs w:val="21"/>
            <w:u w:val="single"/>
            <w:lang w:eastAsia="it-IT"/>
          </w:rPr>
          <w:t>questo link </w:t>
        </w:r>
      </w:hyperlink>
      <w:r w:rsidRPr="006D384F">
        <w:rPr>
          <w:rFonts w:ascii="Arial" w:eastAsia="Times New Roman" w:hAnsi="Arial" w:cs="Arial"/>
          <w:color w:val="000000"/>
          <w:sz w:val="21"/>
          <w:szCs w:val="21"/>
          <w:lang w:eastAsia="it-IT"/>
        </w:rPr>
        <w:t>il file completo.</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Esclusione docenti assunti da GPS 1 fascia: </w:t>
      </w:r>
      <w:r w:rsidRPr="006D384F">
        <w:rPr>
          <w:rFonts w:ascii="Arial" w:eastAsia="Times New Roman" w:hAnsi="Arial" w:cs="Arial"/>
          <w:color w:val="000000"/>
          <w:sz w:val="21"/>
          <w:szCs w:val="21"/>
          <w:lang w:eastAsia="it-IT"/>
        </w:rPr>
        <w:t xml:space="preserve">la procedura concorsuale straordinaria </w:t>
      </w:r>
      <w:proofErr w:type="spellStart"/>
      <w:r w:rsidRPr="006D384F">
        <w:rPr>
          <w:rFonts w:ascii="Arial" w:eastAsia="Times New Roman" w:hAnsi="Arial" w:cs="Arial"/>
          <w:color w:val="000000"/>
          <w:sz w:val="21"/>
          <w:szCs w:val="21"/>
          <w:lang w:eastAsia="it-IT"/>
        </w:rPr>
        <w:t>é</w:t>
      </w:r>
      <w:proofErr w:type="spellEnd"/>
      <w:r w:rsidRPr="006D384F">
        <w:rPr>
          <w:rFonts w:ascii="Arial" w:eastAsia="Times New Roman" w:hAnsi="Arial" w:cs="Arial"/>
          <w:color w:val="000000"/>
          <w:sz w:val="21"/>
          <w:szCs w:val="21"/>
          <w:lang w:eastAsia="it-IT"/>
        </w:rPr>
        <w:t xml:space="preserve"> aperta ai docenti non compresi tra quelli di cui al comma 4 (art. 59 c. 4 DL 73/20121).</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Requisiti di accesso:</w:t>
      </w:r>
      <w:r w:rsidRPr="006D384F">
        <w:rPr>
          <w:rFonts w:ascii="Arial" w:eastAsia="Times New Roman" w:hAnsi="Arial" w:cs="Arial"/>
          <w:color w:val="000000"/>
          <w:sz w:val="21"/>
          <w:szCs w:val="21"/>
          <w:lang w:eastAsia="it-IT"/>
        </w:rPr>
        <w:t> il concorso è riservato a chi ha svolto nelle scuole statali un servizio di almeno tre anni, negli ultimi cinque, valutati ai sensi dell'art 11, c 14, della legge 3 maggio 1999, n. 124 (180 gg o servizio continuativo 1° febbraio-scrutini), di cui 1 nella classe di concorso.</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Graduatorie:</w:t>
      </w:r>
      <w:r w:rsidRPr="006D384F">
        <w:rPr>
          <w:rFonts w:ascii="Arial" w:eastAsia="Times New Roman" w:hAnsi="Arial" w:cs="Arial"/>
          <w:color w:val="000000"/>
          <w:sz w:val="21"/>
          <w:szCs w:val="21"/>
          <w:lang w:eastAsia="it-IT"/>
        </w:rPr>
        <w:t> le graduatorie di merito regionali sono predisposte sulla base dei titoli posseduti e del punteggio conseguito in una prova disciplinare. Alla prova vanno 100 punti, ai titoli 50.</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Prova disciplinare:</w:t>
      </w:r>
      <w:r w:rsidRPr="006D384F">
        <w:rPr>
          <w:rFonts w:ascii="Arial" w:eastAsia="Times New Roman" w:hAnsi="Arial" w:cs="Arial"/>
          <w:color w:val="000000"/>
          <w:sz w:val="21"/>
          <w:szCs w:val="21"/>
          <w:lang w:eastAsia="it-IT"/>
        </w:rPr>
        <w:t> è da tenere entro il 15 giugno 2022. Si prevede una prova orale della durata di 30 minuti sui contenuti dell’Allegato A, da tenere entro il 15 giugno 2022. Estrazione della traccia contestuale alla prova. Non è previsto voto minimo.</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Percorso per i vincitori:</w:t>
      </w:r>
      <w:r w:rsidRPr="006D384F">
        <w:rPr>
          <w:rFonts w:ascii="Arial" w:eastAsia="Times New Roman" w:hAnsi="Arial" w:cs="Arial"/>
          <w:color w:val="000000"/>
          <w:sz w:val="21"/>
          <w:szCs w:val="21"/>
          <w:lang w:eastAsia="it-IT"/>
        </w:rPr>
        <w:t> i vincitori collocati in posizione utile in graduatoria sono assunti a tempo determinato nell'</w:t>
      </w:r>
      <w:proofErr w:type="spellStart"/>
      <w:r w:rsidRPr="006D384F">
        <w:rPr>
          <w:rFonts w:ascii="Arial" w:eastAsia="Times New Roman" w:hAnsi="Arial" w:cs="Arial"/>
          <w:color w:val="000000"/>
          <w:sz w:val="21"/>
          <w:szCs w:val="21"/>
          <w:lang w:eastAsia="it-IT"/>
        </w:rPr>
        <w:t>as</w:t>
      </w:r>
      <w:proofErr w:type="spellEnd"/>
      <w:r w:rsidRPr="006D384F">
        <w:rPr>
          <w:rFonts w:ascii="Arial" w:eastAsia="Times New Roman" w:hAnsi="Arial" w:cs="Arial"/>
          <w:color w:val="000000"/>
          <w:sz w:val="21"/>
          <w:szCs w:val="21"/>
          <w:lang w:eastAsia="it-IT"/>
        </w:rPr>
        <w:t xml:space="preserve"> 2022/2023 e partecipano, con oneri a proprio carico, a un percorso di formazione, in collaborazione con le università, che ne integra le competenze professionali. Il percorso di formazione è pari a 5 CFU (40 ore), organizzato in collaborazione con l’Università. La prova finale non è regolamentata dall’università. Nel corso del contratto a tempo determinato i candidati svolgono il percorso annuale di formazione iniziale e prova. A seguito del superamento della prova che conclude il percorso di formazione universitaria, nonché del superamento del percorso annuale di formazione iniziale e prova, il docente è assunto a tempo indeterminato e confermato in ruolo, con decorrenza giuridica ed economica dal 1° settembre 2023 nella medesima scuola.</w:t>
      </w:r>
    </w:p>
    <w:p w:rsidR="006D384F" w:rsidRPr="006D384F" w:rsidRDefault="006D384F" w:rsidP="006D384F">
      <w:pPr>
        <w:shd w:val="clear" w:color="auto" w:fill="FFFFFF"/>
        <w:spacing w:after="225" w:line="240" w:lineRule="auto"/>
        <w:jc w:val="both"/>
        <w:rPr>
          <w:rFonts w:ascii="Arial" w:eastAsia="Times New Roman" w:hAnsi="Arial" w:cs="Arial"/>
          <w:color w:val="000000"/>
          <w:sz w:val="21"/>
          <w:szCs w:val="21"/>
          <w:lang w:eastAsia="it-IT"/>
        </w:rPr>
      </w:pPr>
      <w:r w:rsidRPr="006D384F">
        <w:rPr>
          <w:rFonts w:ascii="Arial" w:eastAsia="Times New Roman" w:hAnsi="Arial" w:cs="Arial"/>
          <w:b/>
          <w:bCs/>
          <w:color w:val="000000"/>
          <w:sz w:val="21"/>
          <w:szCs w:val="21"/>
          <w:lang w:eastAsia="it-IT"/>
        </w:rPr>
        <w:t>Decadenza delle graduatorie: </w:t>
      </w:r>
      <w:r w:rsidRPr="006D384F">
        <w:rPr>
          <w:rFonts w:ascii="Arial" w:eastAsia="Times New Roman" w:hAnsi="Arial" w:cs="Arial"/>
          <w:color w:val="000000"/>
          <w:sz w:val="21"/>
          <w:szCs w:val="21"/>
          <w:lang w:eastAsia="it-IT"/>
        </w:rPr>
        <w:t>le graduatorie decadono con l'immissione in ruolo dei vincitori.</w:t>
      </w:r>
    </w:p>
    <w:p w:rsidR="00312561" w:rsidRDefault="00312561"/>
    <w:sectPr w:rsidR="003125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4F"/>
    <w:rsid w:val="00312561"/>
    <w:rsid w:val="006D3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8035C-1DB4-45F5-B772-6DC4994B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08737">
      <w:bodyDiv w:val="1"/>
      <w:marLeft w:val="0"/>
      <w:marRight w:val="0"/>
      <w:marTop w:val="0"/>
      <w:marBottom w:val="0"/>
      <w:divBdr>
        <w:top w:val="none" w:sz="0" w:space="0" w:color="auto"/>
        <w:left w:val="none" w:sz="0" w:space="0" w:color="auto"/>
        <w:bottom w:val="none" w:sz="0" w:space="0" w:color="auto"/>
        <w:right w:val="none" w:sz="0" w:space="0" w:color="auto"/>
      </w:divBdr>
      <w:divsChild>
        <w:div w:id="434249041">
          <w:marLeft w:val="0"/>
          <w:marRight w:val="0"/>
          <w:marTop w:val="150"/>
          <w:marBottom w:val="150"/>
          <w:divBdr>
            <w:top w:val="none" w:sz="0" w:space="0" w:color="auto"/>
            <w:left w:val="none" w:sz="0" w:space="0" w:color="auto"/>
            <w:bottom w:val="single" w:sz="6" w:space="0" w:color="CCCCCC"/>
            <w:right w:val="none" w:sz="0" w:space="0" w:color="auto"/>
          </w:divBdr>
          <w:divsChild>
            <w:div w:id="1354575102">
              <w:marLeft w:val="0"/>
              <w:marRight w:val="0"/>
              <w:marTop w:val="0"/>
              <w:marBottom w:val="0"/>
              <w:divBdr>
                <w:top w:val="none" w:sz="0" w:space="0" w:color="auto"/>
                <w:left w:val="none" w:sz="0" w:space="0" w:color="auto"/>
                <w:bottom w:val="none" w:sz="0" w:space="0" w:color="auto"/>
                <w:right w:val="none" w:sz="0" w:space="0" w:color="auto"/>
              </w:divBdr>
            </w:div>
          </w:divsChild>
        </w:div>
        <w:div w:id="2031056971">
          <w:marLeft w:val="0"/>
          <w:marRight w:val="0"/>
          <w:marTop w:val="0"/>
          <w:marBottom w:val="0"/>
          <w:divBdr>
            <w:top w:val="none" w:sz="0" w:space="0" w:color="auto"/>
            <w:left w:val="none" w:sz="0" w:space="0" w:color="auto"/>
            <w:bottom w:val="none" w:sz="0" w:space="0" w:color="auto"/>
            <w:right w:val="none" w:sz="0" w:space="0" w:color="auto"/>
          </w:divBdr>
          <w:divsChild>
            <w:div w:id="1090080918">
              <w:marLeft w:val="0"/>
              <w:marRight w:val="0"/>
              <w:marTop w:val="0"/>
              <w:marBottom w:val="0"/>
              <w:divBdr>
                <w:top w:val="none" w:sz="0" w:space="0" w:color="auto"/>
                <w:left w:val="none" w:sz="0" w:space="0" w:color="auto"/>
                <w:bottom w:val="none" w:sz="0" w:space="0" w:color="auto"/>
                <w:right w:val="none" w:sz="0" w:space="0" w:color="auto"/>
              </w:divBdr>
            </w:div>
            <w:div w:id="775834000">
              <w:marLeft w:val="300"/>
              <w:marRight w:val="150"/>
              <w:marTop w:val="75"/>
              <w:marBottom w:val="0"/>
              <w:divBdr>
                <w:top w:val="none" w:sz="0" w:space="0" w:color="auto"/>
                <w:left w:val="none" w:sz="0" w:space="0" w:color="auto"/>
                <w:bottom w:val="none" w:sz="0" w:space="0" w:color="auto"/>
                <w:right w:val="none" w:sz="0" w:space="0" w:color="auto"/>
              </w:divBdr>
            </w:div>
            <w:div w:id="879904746">
              <w:marLeft w:val="300"/>
              <w:marRight w:val="150"/>
              <w:marTop w:val="75"/>
              <w:marBottom w:val="0"/>
              <w:divBdr>
                <w:top w:val="none" w:sz="0" w:space="0" w:color="auto"/>
                <w:left w:val="none" w:sz="0" w:space="0" w:color="auto"/>
                <w:bottom w:val="none" w:sz="0" w:space="0" w:color="auto"/>
                <w:right w:val="none" w:sz="0" w:space="0" w:color="auto"/>
              </w:divBdr>
            </w:div>
          </w:divsChild>
        </w:div>
        <w:div w:id="262886608">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zzettaufficiale.it/do/atto/concorsi/caricaPdf?cdimg=22E06385999901001&amp;dgu=2022-05-17&amp;art.dataPubblicazioneGazzetta=2022-05-17&amp;art.codiceRedazionale=22E06385&amp;art.num=9999&amp;art.tiposerie=S4" TargetMode="External"/><Relationship Id="rId4" Type="http://schemas.openxmlformats.org/officeDocument/2006/relationships/hyperlink" Target="http://www.miur.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3080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2022-05-25T06:56:00Z</dcterms:created>
  <dcterms:modified xsi:type="dcterms:W3CDTF">2022-05-25T06:57:00Z</dcterms:modified>
</cp:coreProperties>
</file>