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bookmarkStart w:id="0" w:name="_GoBack"/>
      <w:bookmarkEnd w:id="0"/>
      <w:r w:rsidRPr="00A77FBA">
        <w:rPr>
          <w:rFonts w:ascii="Arial" w:eastAsia="Times New Roman" w:hAnsi="Arial" w:cs="Arial"/>
          <w:color w:val="000000"/>
          <w:sz w:val="21"/>
          <w:szCs w:val="21"/>
          <w:lang w:eastAsia="it-IT"/>
        </w:rPr>
        <w:t>È entrato in vigore il 1° maggio 2022 il </w:t>
      </w:r>
      <w:hyperlink r:id="rId5" w:tgtFrame="_blank" w:history="1">
        <w:r w:rsidRPr="00A77FBA">
          <w:rPr>
            <w:rFonts w:ascii="Arial" w:eastAsia="Times New Roman" w:hAnsi="Arial" w:cs="Arial"/>
            <w:color w:val="005EB3"/>
            <w:sz w:val="21"/>
            <w:szCs w:val="21"/>
            <w:lang w:eastAsia="it-IT"/>
          </w:rPr>
          <w:t>decreto legge 36 del 30 aprile 2022</w:t>
        </w:r>
      </w:hyperlink>
      <w:r w:rsidRPr="00A77FBA">
        <w:rPr>
          <w:rFonts w:ascii="Arial" w:eastAsia="Times New Roman" w:hAnsi="Arial" w:cs="Arial"/>
          <w:color w:val="000000"/>
          <w:sz w:val="21"/>
          <w:szCs w:val="21"/>
          <w:lang w:eastAsia="it-IT"/>
        </w:rPr>
        <w:t> “</w:t>
      </w:r>
      <w:r w:rsidRPr="00A77FBA">
        <w:rPr>
          <w:rFonts w:ascii="Arial" w:eastAsia="Times New Roman" w:hAnsi="Arial" w:cs="Arial"/>
          <w:i/>
          <w:iCs/>
          <w:color w:val="000000"/>
          <w:sz w:val="21"/>
          <w:szCs w:val="21"/>
          <w:lang w:eastAsia="it-IT"/>
        </w:rPr>
        <w:t>Ulteriori misure urgenti per l'attuazione del Piano nazionale di ripresa e resilienza (PNRR)</w:t>
      </w:r>
      <w:r w:rsidRPr="00A77FBA">
        <w:rPr>
          <w:rFonts w:ascii="Arial" w:eastAsia="Times New Roman" w:hAnsi="Arial" w:cs="Arial"/>
          <w:color w:val="000000"/>
          <w:sz w:val="21"/>
          <w:szCs w:val="21"/>
          <w:lang w:eastAsia="it-IT"/>
        </w:rPr>
        <w:t>”. Il provvedimento ha </w:t>
      </w:r>
      <w:r w:rsidRPr="00A77FBA">
        <w:rPr>
          <w:rFonts w:ascii="Arial" w:eastAsia="Times New Roman" w:hAnsi="Arial" w:cs="Arial"/>
          <w:b/>
          <w:bCs/>
          <w:color w:val="000000"/>
          <w:sz w:val="21"/>
          <w:szCs w:val="21"/>
          <w:lang w:eastAsia="it-IT"/>
        </w:rPr>
        <w:t>rilevantissime ricadute su tutti i settori della conoscenza ed in particolare sulla scuola</w:t>
      </w:r>
      <w:r w:rsidRPr="00A77FBA">
        <w:rPr>
          <w:rFonts w:ascii="Arial" w:eastAsia="Times New Roman" w:hAnsi="Arial" w:cs="Arial"/>
          <w:color w:val="000000"/>
          <w:sz w:val="21"/>
          <w:szCs w:val="21"/>
          <w:lang w:eastAsia="it-IT"/>
        </w:rPr>
        <w:t> con la </w:t>
      </w:r>
      <w:r w:rsidRPr="00A77FBA">
        <w:rPr>
          <w:rFonts w:ascii="Arial" w:eastAsia="Times New Roman" w:hAnsi="Arial" w:cs="Arial"/>
          <w:b/>
          <w:bCs/>
          <w:color w:val="000000"/>
          <w:sz w:val="21"/>
          <w:szCs w:val="21"/>
          <w:lang w:eastAsia="it-IT"/>
        </w:rPr>
        <w:t>riforma del sistema di reclutamento</w:t>
      </w:r>
      <w:r w:rsidRPr="00A77FBA">
        <w:rPr>
          <w:rFonts w:ascii="Arial" w:eastAsia="Times New Roman" w:hAnsi="Arial" w:cs="Arial"/>
          <w:color w:val="000000"/>
          <w:sz w:val="21"/>
          <w:szCs w:val="21"/>
          <w:lang w:eastAsia="it-IT"/>
        </w:rPr>
        <w:t> e con l’introduzione per legge di meccanismi di incentivazione salariale che sono stati ampiamenti contestati dalla FLC CGIL.</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Di seguito </w:t>
      </w:r>
      <w:r w:rsidRPr="00A77FBA">
        <w:rPr>
          <w:rFonts w:ascii="Arial" w:eastAsia="Times New Roman" w:hAnsi="Arial" w:cs="Arial"/>
          <w:b/>
          <w:bCs/>
          <w:color w:val="000000"/>
          <w:sz w:val="21"/>
          <w:szCs w:val="21"/>
          <w:lang w:eastAsia="it-IT"/>
        </w:rPr>
        <w:t>l’analisi dei contenuti relativi ai settori dell’università, della ricerca e dell’</w:t>
      </w:r>
      <w:proofErr w:type="spellStart"/>
      <w:r w:rsidRPr="00A77FBA">
        <w:rPr>
          <w:rFonts w:ascii="Arial" w:eastAsia="Times New Roman" w:hAnsi="Arial" w:cs="Arial"/>
          <w:b/>
          <w:bCs/>
          <w:color w:val="000000"/>
          <w:sz w:val="21"/>
          <w:szCs w:val="21"/>
          <w:lang w:eastAsia="it-IT"/>
        </w:rPr>
        <w:t>Afam</w:t>
      </w:r>
      <w:proofErr w:type="spellEnd"/>
      <w:r w:rsidRPr="00A77FBA">
        <w:rPr>
          <w:rFonts w:ascii="Arial" w:eastAsia="Times New Roman" w:hAnsi="Arial" w:cs="Arial"/>
          <w:color w:val="000000"/>
          <w:sz w:val="21"/>
          <w:szCs w:val="21"/>
          <w:lang w:eastAsia="it-IT"/>
        </w:rPr>
        <w:t>.</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b/>
          <w:bCs/>
          <w:color w:val="000000"/>
          <w:sz w:val="21"/>
          <w:szCs w:val="21"/>
          <w:lang w:eastAsia="it-IT"/>
        </w:rPr>
        <w:t>Indice cliccabile</w:t>
      </w:r>
    </w:p>
    <w:p w:rsidR="00A77FBA" w:rsidRPr="00A77FBA" w:rsidRDefault="004A27F8" w:rsidP="00A77FBA">
      <w:pPr>
        <w:shd w:val="clear" w:color="auto" w:fill="FFFFFF"/>
        <w:spacing w:after="225" w:line="240" w:lineRule="auto"/>
        <w:jc w:val="both"/>
        <w:rPr>
          <w:rFonts w:ascii="Arial" w:eastAsia="Times New Roman" w:hAnsi="Arial" w:cs="Arial"/>
          <w:color w:val="000000"/>
          <w:sz w:val="21"/>
          <w:szCs w:val="21"/>
          <w:lang w:eastAsia="it-IT"/>
        </w:rPr>
      </w:pPr>
      <w:hyperlink r:id="rId6" w:anchor="interventi" w:history="1">
        <w:r w:rsidR="00A77FBA" w:rsidRPr="00A77FBA">
          <w:rPr>
            <w:rFonts w:ascii="Arial" w:eastAsia="Times New Roman" w:hAnsi="Arial" w:cs="Arial"/>
            <w:b/>
            <w:bCs/>
            <w:i/>
            <w:iCs/>
            <w:color w:val="005EB3"/>
            <w:sz w:val="21"/>
            <w:szCs w:val="21"/>
            <w:lang w:eastAsia="it-IT"/>
          </w:rPr>
          <w:t>INTERVENTI DI CARATTERE GENERALE</w:t>
        </w:r>
      </w:hyperlink>
    </w:p>
    <w:p w:rsidR="00A77FBA" w:rsidRPr="00A77FBA" w:rsidRDefault="004A27F8" w:rsidP="00A77FBA">
      <w:pPr>
        <w:shd w:val="clear" w:color="auto" w:fill="FFFFFF"/>
        <w:spacing w:after="225" w:line="240" w:lineRule="auto"/>
        <w:jc w:val="both"/>
        <w:rPr>
          <w:rFonts w:ascii="Arial" w:eastAsia="Times New Roman" w:hAnsi="Arial" w:cs="Arial"/>
          <w:color w:val="000000"/>
          <w:sz w:val="21"/>
          <w:szCs w:val="21"/>
          <w:lang w:eastAsia="it-IT"/>
        </w:rPr>
      </w:pPr>
      <w:hyperlink r:id="rId7" w:anchor="pianointegrato" w:history="1">
        <w:r w:rsidR="00A77FBA" w:rsidRPr="00A77FBA">
          <w:rPr>
            <w:rFonts w:ascii="Arial" w:eastAsia="Times New Roman" w:hAnsi="Arial" w:cs="Arial"/>
            <w:color w:val="005EB3"/>
            <w:sz w:val="21"/>
            <w:szCs w:val="21"/>
            <w:lang w:eastAsia="it-IT"/>
          </w:rPr>
          <w:t>Piano integrato di attività e organizzazione</w:t>
        </w:r>
      </w:hyperlink>
      <w:r w:rsidR="00A77FBA" w:rsidRPr="00A77FBA">
        <w:rPr>
          <w:rFonts w:ascii="Arial" w:eastAsia="Times New Roman" w:hAnsi="Arial" w:cs="Arial"/>
          <w:color w:val="000000"/>
          <w:sz w:val="21"/>
          <w:szCs w:val="21"/>
          <w:lang w:eastAsia="it-IT"/>
        </w:rPr>
        <w:br/>
      </w:r>
      <w:hyperlink r:id="rId8" w:anchor="pianofabbisogni" w:history="1">
        <w:r w:rsidR="00A77FBA" w:rsidRPr="00A77FBA">
          <w:rPr>
            <w:rFonts w:ascii="Arial" w:eastAsia="Times New Roman" w:hAnsi="Arial" w:cs="Arial"/>
            <w:color w:val="005EB3"/>
            <w:sz w:val="21"/>
            <w:szCs w:val="21"/>
            <w:lang w:eastAsia="it-IT"/>
          </w:rPr>
          <w:t>Piani dei fabbisogni di personale delle amministrazioni pubbliche</w:t>
        </w:r>
      </w:hyperlink>
      <w:r w:rsidR="00A77FBA" w:rsidRPr="00A77FBA">
        <w:rPr>
          <w:rFonts w:ascii="Arial" w:eastAsia="Times New Roman" w:hAnsi="Arial" w:cs="Arial"/>
          <w:color w:val="000000"/>
          <w:sz w:val="21"/>
          <w:szCs w:val="21"/>
          <w:lang w:eastAsia="it-IT"/>
        </w:rPr>
        <w:br/>
      </w:r>
      <w:hyperlink r:id="rId9" w:anchor="nuoveprocedureconcorsuali" w:history="1">
        <w:r w:rsidR="00A77FBA" w:rsidRPr="00A77FBA">
          <w:rPr>
            <w:rFonts w:ascii="Arial" w:eastAsia="Times New Roman" w:hAnsi="Arial" w:cs="Arial"/>
            <w:color w:val="005EB3"/>
            <w:sz w:val="21"/>
            <w:szCs w:val="21"/>
            <w:lang w:eastAsia="it-IT"/>
          </w:rPr>
          <w:t>Nuove procedure concorsuali nella pubblica amministrazione</w:t>
        </w:r>
      </w:hyperlink>
      <w:r w:rsidR="00A77FBA" w:rsidRPr="00A77FBA">
        <w:rPr>
          <w:rFonts w:ascii="Arial" w:eastAsia="Times New Roman" w:hAnsi="Arial" w:cs="Arial"/>
          <w:color w:val="000000"/>
          <w:sz w:val="21"/>
          <w:szCs w:val="21"/>
          <w:lang w:eastAsia="it-IT"/>
        </w:rPr>
        <w:br/>
      </w:r>
      <w:hyperlink r:id="rId10" w:anchor="passaggiodiretto" w:history="1">
        <w:r w:rsidR="00A77FBA" w:rsidRPr="00A77FBA">
          <w:rPr>
            <w:rFonts w:ascii="Arial" w:eastAsia="Times New Roman" w:hAnsi="Arial" w:cs="Arial"/>
            <w:color w:val="005EB3"/>
            <w:sz w:val="21"/>
            <w:szCs w:val="21"/>
            <w:lang w:eastAsia="it-IT"/>
          </w:rPr>
          <w:t>Passaggio diretto di personale tra pubbliche amministrazioni diverse</w:t>
        </w:r>
      </w:hyperlink>
    </w:p>
    <w:p w:rsidR="00A77FBA" w:rsidRPr="00A77FBA" w:rsidRDefault="004A27F8" w:rsidP="00A77FBA">
      <w:pPr>
        <w:shd w:val="clear" w:color="auto" w:fill="FFFFFF"/>
        <w:spacing w:after="225" w:line="240" w:lineRule="auto"/>
        <w:ind w:left="708"/>
        <w:jc w:val="both"/>
        <w:rPr>
          <w:rFonts w:ascii="Arial" w:eastAsia="Times New Roman" w:hAnsi="Arial" w:cs="Arial"/>
          <w:color w:val="000000"/>
          <w:sz w:val="21"/>
          <w:szCs w:val="21"/>
          <w:lang w:eastAsia="it-IT"/>
        </w:rPr>
      </w:pPr>
      <w:hyperlink r:id="rId11" w:anchor="mobilit%C3%A0" w:history="1">
        <w:r w:rsidR="00A77FBA" w:rsidRPr="00A77FBA">
          <w:rPr>
            <w:rFonts w:ascii="Arial" w:eastAsia="Times New Roman" w:hAnsi="Arial" w:cs="Arial"/>
            <w:i/>
            <w:iCs/>
            <w:color w:val="005EB3"/>
            <w:sz w:val="21"/>
            <w:szCs w:val="21"/>
            <w:lang w:eastAsia="it-IT"/>
          </w:rPr>
          <w:t>Mobilità</w:t>
        </w:r>
      </w:hyperlink>
      <w:r w:rsidR="00A77FBA" w:rsidRPr="00A77FBA">
        <w:rPr>
          <w:rFonts w:ascii="Arial" w:eastAsia="Times New Roman" w:hAnsi="Arial" w:cs="Arial"/>
          <w:i/>
          <w:iCs/>
          <w:color w:val="000000"/>
          <w:sz w:val="21"/>
          <w:szCs w:val="21"/>
          <w:lang w:eastAsia="it-IT"/>
        </w:rPr>
        <w:br/>
      </w:r>
      <w:hyperlink r:id="rId12" w:anchor="comandidistacchi" w:history="1">
        <w:r w:rsidR="00A77FBA" w:rsidRPr="00A77FBA">
          <w:rPr>
            <w:rFonts w:ascii="Arial" w:eastAsia="Times New Roman" w:hAnsi="Arial" w:cs="Arial"/>
            <w:i/>
            <w:iCs/>
            <w:color w:val="005EB3"/>
            <w:sz w:val="21"/>
            <w:szCs w:val="21"/>
            <w:lang w:eastAsia="it-IT"/>
          </w:rPr>
          <w:t>Comandi e distacchi</w:t>
        </w:r>
      </w:hyperlink>
      <w:r w:rsidR="00A77FBA" w:rsidRPr="00A77FBA">
        <w:rPr>
          <w:rFonts w:ascii="Arial" w:eastAsia="Times New Roman" w:hAnsi="Arial" w:cs="Arial"/>
          <w:i/>
          <w:iCs/>
          <w:color w:val="000000"/>
          <w:sz w:val="21"/>
          <w:szCs w:val="21"/>
          <w:lang w:eastAsia="it-IT"/>
        </w:rPr>
        <w:br/>
      </w:r>
      <w:hyperlink r:id="rId13" w:anchor="inquadramentoruolo" w:history="1">
        <w:r w:rsidR="00A77FBA" w:rsidRPr="00A77FBA">
          <w:rPr>
            <w:rFonts w:ascii="Arial" w:eastAsia="Times New Roman" w:hAnsi="Arial" w:cs="Arial"/>
            <w:i/>
            <w:iCs/>
            <w:color w:val="005EB3"/>
            <w:sz w:val="21"/>
            <w:szCs w:val="21"/>
            <w:lang w:eastAsia="it-IT"/>
          </w:rPr>
          <w:t>Procedure straordinarie di inquadramento in ruolo</w:t>
        </w:r>
      </w:hyperlink>
    </w:p>
    <w:p w:rsidR="00A77FBA" w:rsidRPr="00A77FBA" w:rsidRDefault="004A27F8" w:rsidP="00A77FBA">
      <w:pPr>
        <w:shd w:val="clear" w:color="auto" w:fill="FFFFFF"/>
        <w:spacing w:after="225" w:line="240" w:lineRule="auto"/>
        <w:jc w:val="both"/>
        <w:rPr>
          <w:rFonts w:ascii="Arial" w:eastAsia="Times New Roman" w:hAnsi="Arial" w:cs="Arial"/>
          <w:color w:val="000000"/>
          <w:sz w:val="21"/>
          <w:szCs w:val="21"/>
          <w:lang w:eastAsia="it-IT"/>
        </w:rPr>
      </w:pPr>
      <w:hyperlink r:id="rId14" w:anchor="codicecomportamento" w:history="1">
        <w:r w:rsidR="00A77FBA" w:rsidRPr="00A77FBA">
          <w:rPr>
            <w:rFonts w:ascii="Arial" w:eastAsia="Times New Roman" w:hAnsi="Arial" w:cs="Arial"/>
            <w:color w:val="005EB3"/>
            <w:sz w:val="21"/>
            <w:szCs w:val="21"/>
            <w:lang w:eastAsia="it-IT"/>
          </w:rPr>
          <w:t>Codice di comportamento dei pubblici dipendenti</w:t>
        </w:r>
      </w:hyperlink>
      <w:r w:rsidR="00A77FBA" w:rsidRPr="00A77FBA">
        <w:rPr>
          <w:rFonts w:ascii="Arial" w:eastAsia="Times New Roman" w:hAnsi="Arial" w:cs="Arial"/>
          <w:color w:val="000000"/>
          <w:sz w:val="21"/>
          <w:szCs w:val="21"/>
          <w:lang w:eastAsia="it-IT"/>
        </w:rPr>
        <w:br/>
      </w:r>
      <w:hyperlink r:id="rId15" w:anchor="parit%C3%A0genere" w:history="1">
        <w:r w:rsidR="00A77FBA" w:rsidRPr="00A77FBA">
          <w:rPr>
            <w:rFonts w:ascii="Arial" w:eastAsia="Times New Roman" w:hAnsi="Arial" w:cs="Arial"/>
            <w:color w:val="005EB3"/>
            <w:sz w:val="21"/>
            <w:szCs w:val="21"/>
            <w:lang w:eastAsia="it-IT"/>
          </w:rPr>
          <w:t>Parità di genere</w:t>
        </w:r>
      </w:hyperlink>
      <w:r w:rsidR="00A77FBA" w:rsidRPr="00A77FBA">
        <w:rPr>
          <w:rFonts w:ascii="Arial" w:eastAsia="Times New Roman" w:hAnsi="Arial" w:cs="Arial"/>
          <w:color w:val="000000"/>
          <w:sz w:val="21"/>
          <w:szCs w:val="21"/>
          <w:lang w:eastAsia="it-IT"/>
        </w:rPr>
        <w:br/>
      </w:r>
      <w:hyperlink r:id="rId16" w:anchor="modalit%C3%A0reclutamento" w:history="1">
        <w:r w:rsidR="00A77FBA" w:rsidRPr="00A77FBA">
          <w:rPr>
            <w:rFonts w:ascii="Arial" w:eastAsia="Times New Roman" w:hAnsi="Arial" w:cs="Arial"/>
            <w:color w:val="005EB3"/>
            <w:sz w:val="21"/>
            <w:szCs w:val="21"/>
            <w:lang w:eastAsia="it-IT"/>
          </w:rPr>
          <w:t>Modalità speciali di reclutamento per l’attuazione del PNRR</w:t>
        </w:r>
      </w:hyperlink>
      <w:r w:rsidR="00A77FBA" w:rsidRPr="00A77FBA">
        <w:rPr>
          <w:rFonts w:ascii="Arial" w:eastAsia="Times New Roman" w:hAnsi="Arial" w:cs="Arial"/>
          <w:color w:val="000000"/>
          <w:sz w:val="21"/>
          <w:szCs w:val="21"/>
          <w:lang w:eastAsia="it-IT"/>
        </w:rPr>
        <w:br/>
      </w:r>
      <w:hyperlink r:id="rId17" w:anchor="conferimentoincarichi" w:history="1">
        <w:r w:rsidR="00A77FBA" w:rsidRPr="00A77FBA">
          <w:rPr>
            <w:rFonts w:ascii="Arial" w:eastAsia="Times New Roman" w:hAnsi="Arial" w:cs="Arial"/>
            <w:color w:val="005EB3"/>
            <w:sz w:val="21"/>
            <w:szCs w:val="21"/>
            <w:lang w:eastAsia="it-IT"/>
          </w:rPr>
          <w:t>Conferimento di incarichi per il Piano nazionale di ripresa e resilienza a lavoratori in quiescenza</w:t>
        </w:r>
      </w:hyperlink>
      <w:r w:rsidR="00A77FBA" w:rsidRPr="00A77FBA">
        <w:rPr>
          <w:rFonts w:ascii="Arial" w:eastAsia="Times New Roman" w:hAnsi="Arial" w:cs="Arial"/>
          <w:color w:val="000000"/>
          <w:sz w:val="21"/>
          <w:szCs w:val="21"/>
          <w:lang w:eastAsia="it-IT"/>
        </w:rPr>
        <w:br/>
      </w:r>
      <w:hyperlink r:id="rId18" w:anchor="fondoinnovazione" w:history="1">
        <w:r w:rsidR="00A77FBA" w:rsidRPr="00A77FBA">
          <w:rPr>
            <w:rFonts w:ascii="Arial" w:eastAsia="Times New Roman" w:hAnsi="Arial" w:cs="Arial"/>
            <w:color w:val="005EB3"/>
            <w:sz w:val="21"/>
            <w:szCs w:val="21"/>
            <w:lang w:eastAsia="it-IT"/>
          </w:rPr>
          <w:t>Fondo per l’innovazione tecnologica e la digitalizzazione</w:t>
        </w:r>
      </w:hyperlink>
    </w:p>
    <w:p w:rsidR="00A77FBA" w:rsidRPr="00A77FBA" w:rsidRDefault="004A27F8" w:rsidP="00A77FBA">
      <w:pPr>
        <w:shd w:val="clear" w:color="auto" w:fill="FFFFFF"/>
        <w:spacing w:after="225" w:line="240" w:lineRule="auto"/>
        <w:jc w:val="both"/>
        <w:rPr>
          <w:rFonts w:ascii="Arial" w:eastAsia="Times New Roman" w:hAnsi="Arial" w:cs="Arial"/>
          <w:color w:val="000000"/>
          <w:sz w:val="21"/>
          <w:szCs w:val="21"/>
          <w:lang w:eastAsia="it-IT"/>
        </w:rPr>
      </w:pPr>
      <w:hyperlink r:id="rId19" w:anchor="universit%C3%A0ricerca" w:history="1">
        <w:r w:rsidR="00A77FBA" w:rsidRPr="00A77FBA">
          <w:rPr>
            <w:rFonts w:ascii="Arial" w:eastAsia="Times New Roman" w:hAnsi="Arial" w:cs="Arial"/>
            <w:b/>
            <w:bCs/>
            <w:i/>
            <w:iCs/>
            <w:color w:val="005EB3"/>
            <w:sz w:val="21"/>
            <w:szCs w:val="21"/>
            <w:lang w:eastAsia="it-IT"/>
          </w:rPr>
          <w:t>UNIVERSITÀ, RICERCA E PNRR</w:t>
        </w:r>
      </w:hyperlink>
    </w:p>
    <w:p w:rsidR="00A77FBA" w:rsidRPr="00A77FBA" w:rsidRDefault="00A77FBA" w:rsidP="00A77FBA">
      <w:pPr>
        <w:pBdr>
          <w:bottom w:val="dotted" w:sz="6" w:space="3" w:color="CCCCCC"/>
        </w:pBdr>
        <w:shd w:val="clear" w:color="auto" w:fill="F2F2F2"/>
        <w:spacing w:before="300" w:after="150" w:line="240" w:lineRule="auto"/>
        <w:jc w:val="center"/>
        <w:outlineLvl w:val="4"/>
        <w:rPr>
          <w:rFonts w:ascii="Arial" w:eastAsia="Times New Roman" w:hAnsi="Arial" w:cs="Arial"/>
          <w:color w:val="535353"/>
          <w:sz w:val="27"/>
          <w:szCs w:val="27"/>
          <w:lang w:eastAsia="it-IT"/>
        </w:rPr>
      </w:pPr>
      <w:bookmarkStart w:id="1" w:name="interventi"/>
      <w:bookmarkEnd w:id="1"/>
      <w:r w:rsidRPr="00A77FBA">
        <w:rPr>
          <w:rFonts w:ascii="Arial" w:eastAsia="Times New Roman" w:hAnsi="Arial" w:cs="Arial"/>
          <w:b/>
          <w:bCs/>
          <w:color w:val="535353"/>
          <w:sz w:val="27"/>
          <w:szCs w:val="27"/>
          <w:lang w:eastAsia="it-IT"/>
        </w:rPr>
        <w:t>INTERVENTI DI CARATTERE GENERALE</w:t>
      </w:r>
    </w:p>
    <w:p w:rsidR="00A77FBA" w:rsidRPr="00A77FBA" w:rsidRDefault="00A77FBA" w:rsidP="00A77FBA">
      <w:pPr>
        <w:shd w:val="clear" w:color="auto" w:fill="FFFFFF"/>
        <w:spacing w:after="225" w:line="240" w:lineRule="auto"/>
        <w:jc w:val="center"/>
        <w:rPr>
          <w:rFonts w:ascii="Arial" w:eastAsia="Times New Roman" w:hAnsi="Arial" w:cs="Arial"/>
          <w:color w:val="000000"/>
          <w:sz w:val="21"/>
          <w:szCs w:val="21"/>
          <w:lang w:eastAsia="it-IT"/>
        </w:rPr>
      </w:pPr>
      <w:bookmarkStart w:id="2" w:name="pianointegrato"/>
      <w:bookmarkEnd w:id="2"/>
      <w:r w:rsidRPr="00A77FBA">
        <w:rPr>
          <w:rFonts w:ascii="Arial" w:eastAsia="Times New Roman" w:hAnsi="Arial" w:cs="Arial"/>
          <w:b/>
          <w:bCs/>
          <w:color w:val="000000"/>
          <w:sz w:val="21"/>
          <w:szCs w:val="21"/>
          <w:lang w:eastAsia="it-IT"/>
        </w:rPr>
        <w:t>Piano integrato di attività e organizzazione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L’adozione del Piano integrato di attività e organizzazione è </w:t>
      </w:r>
      <w:r w:rsidRPr="00A77FBA">
        <w:rPr>
          <w:rFonts w:ascii="Arial" w:eastAsia="Times New Roman" w:hAnsi="Arial" w:cs="Arial"/>
          <w:b/>
          <w:bCs/>
          <w:color w:val="000000"/>
          <w:sz w:val="21"/>
          <w:szCs w:val="21"/>
          <w:lang w:eastAsia="it-IT"/>
        </w:rPr>
        <w:t>prorogata dal 30 aprile al 30 giugno 2022.</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7 comma 1 lettera a) punto 1)</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bookmarkStart w:id="3" w:name="pianofabbisogni"/>
      <w:bookmarkEnd w:id="3"/>
      <w:r w:rsidRPr="00A77FBA">
        <w:rPr>
          <w:rFonts w:ascii="Arial" w:eastAsia="Times New Roman" w:hAnsi="Arial" w:cs="Arial"/>
          <w:b/>
          <w:bCs/>
          <w:color w:val="000000"/>
          <w:sz w:val="21"/>
          <w:szCs w:val="21"/>
          <w:lang w:eastAsia="it-IT"/>
        </w:rPr>
        <w:t>Piani dei fabbisogni di personale delle amministrazioni pubbliche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Prevista l’emanazione di </w:t>
      </w:r>
      <w:r w:rsidRPr="00A77FBA">
        <w:rPr>
          <w:rFonts w:ascii="Arial" w:eastAsia="Times New Roman" w:hAnsi="Arial" w:cs="Arial"/>
          <w:b/>
          <w:bCs/>
          <w:color w:val="000000"/>
          <w:sz w:val="21"/>
          <w:szCs w:val="21"/>
          <w:lang w:eastAsia="it-IT"/>
        </w:rPr>
        <w:t>linee di indirizzo</w:t>
      </w:r>
      <w:r w:rsidRPr="00A77FBA">
        <w:rPr>
          <w:rFonts w:ascii="Arial" w:eastAsia="Times New Roman" w:hAnsi="Arial" w:cs="Arial"/>
          <w:color w:val="000000"/>
          <w:sz w:val="21"/>
          <w:szCs w:val="21"/>
          <w:lang w:eastAsia="it-IT"/>
        </w:rPr>
        <w:t> per orientare le amministrazioni pubbliche nella </w:t>
      </w:r>
      <w:r w:rsidRPr="00A77FBA">
        <w:rPr>
          <w:rFonts w:ascii="Arial" w:eastAsia="Times New Roman" w:hAnsi="Arial" w:cs="Arial"/>
          <w:b/>
          <w:bCs/>
          <w:color w:val="000000"/>
          <w:sz w:val="21"/>
          <w:szCs w:val="21"/>
          <w:lang w:eastAsia="it-IT"/>
        </w:rPr>
        <w:t>predisposizione dei rispettivi piani dei fabbisogni di personale</w:t>
      </w:r>
      <w:r w:rsidRPr="00A77FBA">
        <w:rPr>
          <w:rFonts w:ascii="Arial" w:eastAsia="Times New Roman" w:hAnsi="Arial" w:cs="Arial"/>
          <w:color w:val="000000"/>
          <w:sz w:val="21"/>
          <w:szCs w:val="21"/>
          <w:lang w:eastAsia="it-IT"/>
        </w:rPr>
        <w:t> con riferimento alla definizione di nuovi profili professionali individuati dalla contrattazione collettiva, con particolare attenzione all’insieme di conoscenze, competenze, capacità del personale da assumere anche per sostenere la transizione digitale ed ecologica della PA.</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b/>
          <w:bCs/>
          <w:color w:val="000000"/>
          <w:sz w:val="21"/>
          <w:szCs w:val="21"/>
          <w:lang w:eastAsia="it-IT"/>
        </w:rPr>
        <w:t>In prima applicazione le linee guida sono emanate entro il 30 giugno 2022</w:t>
      </w:r>
      <w:r w:rsidRPr="00A77FBA">
        <w:rPr>
          <w:rFonts w:ascii="Arial" w:eastAsia="Times New Roman" w:hAnsi="Arial" w:cs="Arial"/>
          <w:color w:val="000000"/>
          <w:sz w:val="21"/>
          <w:szCs w:val="21"/>
          <w:lang w:eastAsia="it-IT"/>
        </w:rPr>
        <w:t> con decreto del ministro per la pubblica amministrazione di concerto con il ministro dell’economia e delle finanze.</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1)</w:t>
      </w:r>
    </w:p>
    <w:p w:rsidR="00A77FBA" w:rsidRPr="00A77FBA" w:rsidRDefault="00A77FBA" w:rsidP="00A77FBA">
      <w:pPr>
        <w:shd w:val="clear" w:color="auto" w:fill="FFFFFF"/>
        <w:spacing w:after="225" w:line="240" w:lineRule="auto"/>
        <w:jc w:val="center"/>
        <w:rPr>
          <w:rFonts w:ascii="Arial" w:eastAsia="Times New Roman" w:hAnsi="Arial" w:cs="Arial"/>
          <w:color w:val="000000"/>
          <w:sz w:val="21"/>
          <w:szCs w:val="21"/>
          <w:lang w:eastAsia="it-IT"/>
        </w:rPr>
      </w:pPr>
      <w:bookmarkStart w:id="4" w:name="nuoveprocedureconcorsuali"/>
      <w:bookmarkEnd w:id="4"/>
      <w:r w:rsidRPr="00A77FBA">
        <w:rPr>
          <w:rFonts w:ascii="Arial" w:eastAsia="Times New Roman" w:hAnsi="Arial" w:cs="Arial"/>
          <w:b/>
          <w:bCs/>
          <w:color w:val="000000"/>
          <w:sz w:val="21"/>
          <w:szCs w:val="21"/>
          <w:lang w:eastAsia="it-IT"/>
        </w:rPr>
        <w:t>Nuove procedure concorsuali nella pubblica amministrazione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 xml:space="preserve">Introdotto l’art. 35 – quater nel D. </w:t>
      </w:r>
      <w:proofErr w:type="spellStart"/>
      <w:r w:rsidRPr="00A77FBA">
        <w:rPr>
          <w:rFonts w:ascii="Arial" w:eastAsia="Times New Roman" w:hAnsi="Arial" w:cs="Arial"/>
          <w:color w:val="000000"/>
          <w:sz w:val="21"/>
          <w:szCs w:val="21"/>
          <w:lang w:eastAsia="it-IT"/>
        </w:rPr>
        <w:t>Lgs</w:t>
      </w:r>
      <w:proofErr w:type="spellEnd"/>
      <w:r w:rsidRPr="00A77FBA">
        <w:rPr>
          <w:rFonts w:ascii="Arial" w:eastAsia="Times New Roman" w:hAnsi="Arial" w:cs="Arial"/>
          <w:color w:val="000000"/>
          <w:sz w:val="21"/>
          <w:szCs w:val="21"/>
          <w:lang w:eastAsia="it-IT"/>
        </w:rPr>
        <w:t>. 165/01 che definisce le regole per le assunzioni del personale non dirigenziale di tutte le pubbliche amministrazioni. Contestualmente vengono abrogati i commi da 1 a 7 dell’art. 10 del D.L. 44/21. Le nuove disposizioni non si applicano alle procedure di reclutamento del personale in regime di diritto pubblico (ad es. i docenti universitari). Le nuove procedure prevedono</w:t>
      </w:r>
    </w:p>
    <w:p w:rsidR="00A77FBA" w:rsidRPr="00A77FBA" w:rsidRDefault="00A77FBA" w:rsidP="00A77FBA">
      <w:pPr>
        <w:numPr>
          <w:ilvl w:val="0"/>
          <w:numId w:val="1"/>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l’</w:t>
      </w:r>
      <w:r w:rsidRPr="00A77FBA">
        <w:rPr>
          <w:rFonts w:ascii="Arial" w:eastAsia="Times New Roman" w:hAnsi="Arial" w:cs="Arial"/>
          <w:b/>
          <w:bCs/>
          <w:color w:val="000000"/>
          <w:sz w:val="23"/>
          <w:szCs w:val="23"/>
          <w:lang w:eastAsia="it-IT"/>
        </w:rPr>
        <w:t>espletamento di almeno una prova scritta</w:t>
      </w:r>
      <w:r w:rsidRPr="00A77FBA">
        <w:rPr>
          <w:rFonts w:ascii="Arial" w:eastAsia="Times New Roman" w:hAnsi="Arial" w:cs="Arial"/>
          <w:color w:val="000000"/>
          <w:sz w:val="23"/>
          <w:szCs w:val="23"/>
          <w:lang w:eastAsia="it-IT"/>
        </w:rPr>
        <w:t xml:space="preserve">, anche a contenuto teorico-pratico e di una prova orale, comprendente l'accertamento della conoscenza di almeno una lingua straniera. Il numero delle prove d’esame e le relative modalità di svolgimento e correzione devono </w:t>
      </w:r>
      <w:r w:rsidRPr="00A77FBA">
        <w:rPr>
          <w:rFonts w:ascii="Arial" w:eastAsia="Times New Roman" w:hAnsi="Arial" w:cs="Arial"/>
          <w:color w:val="000000"/>
          <w:sz w:val="23"/>
          <w:szCs w:val="23"/>
          <w:lang w:eastAsia="it-IT"/>
        </w:rPr>
        <w:lastRenderedPageBreak/>
        <w:t>contemperare l’ampiezza e profondità della valutazione delle competenze definite nel bando, con l’esigenza di assicurare tempi rapidi e certi di svolgimento del concorso</w:t>
      </w:r>
    </w:p>
    <w:p w:rsidR="00A77FBA" w:rsidRPr="00A77FBA" w:rsidRDefault="00A77FBA" w:rsidP="00A77FBA">
      <w:pPr>
        <w:numPr>
          <w:ilvl w:val="0"/>
          <w:numId w:val="1"/>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l'</w:t>
      </w:r>
      <w:r w:rsidRPr="00A77FBA">
        <w:rPr>
          <w:rFonts w:ascii="Arial" w:eastAsia="Times New Roman" w:hAnsi="Arial" w:cs="Arial"/>
          <w:b/>
          <w:bCs/>
          <w:color w:val="000000"/>
          <w:sz w:val="23"/>
          <w:szCs w:val="23"/>
          <w:lang w:eastAsia="it-IT"/>
        </w:rPr>
        <w:t>utilizzo di strumenti informatici e digitali </w:t>
      </w:r>
      <w:r w:rsidRPr="00A77FBA">
        <w:rPr>
          <w:rFonts w:ascii="Arial" w:eastAsia="Times New Roman" w:hAnsi="Arial" w:cs="Arial"/>
          <w:color w:val="000000"/>
          <w:sz w:val="23"/>
          <w:szCs w:val="23"/>
          <w:lang w:eastAsia="it-IT"/>
        </w:rPr>
        <w:t>e, facoltativamente, lo svolgimento in videoconferenza della prova orale, garantendo comunque l'adozione di soluzioni tecniche che ne assicurino</w:t>
      </w:r>
    </w:p>
    <w:p w:rsidR="00A77FBA" w:rsidRPr="00A77FBA" w:rsidRDefault="00A77FBA" w:rsidP="00A77FBA">
      <w:pPr>
        <w:numPr>
          <w:ilvl w:val="1"/>
          <w:numId w:val="1"/>
        </w:numPr>
        <w:shd w:val="clear" w:color="auto" w:fill="FFFFFF"/>
        <w:spacing w:after="150" w:line="240" w:lineRule="auto"/>
        <w:ind w:left="150"/>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la pubblicità,</w:t>
      </w:r>
    </w:p>
    <w:p w:rsidR="00A77FBA" w:rsidRPr="00A77FBA" w:rsidRDefault="00A77FBA" w:rsidP="00A77FBA">
      <w:pPr>
        <w:numPr>
          <w:ilvl w:val="1"/>
          <w:numId w:val="1"/>
        </w:numPr>
        <w:shd w:val="clear" w:color="auto" w:fill="FFFFFF"/>
        <w:spacing w:after="150" w:line="240" w:lineRule="auto"/>
        <w:ind w:left="150"/>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l'identificazione dei partecipanti,</w:t>
      </w:r>
    </w:p>
    <w:p w:rsidR="00A77FBA" w:rsidRPr="00A77FBA" w:rsidRDefault="00A77FBA" w:rsidP="00A77FBA">
      <w:pPr>
        <w:numPr>
          <w:ilvl w:val="1"/>
          <w:numId w:val="1"/>
        </w:numPr>
        <w:shd w:val="clear" w:color="auto" w:fill="FFFFFF"/>
        <w:spacing w:after="150" w:line="240" w:lineRule="auto"/>
        <w:ind w:left="150"/>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la sicurezza delle comunicazioni e la loro tracciabilità,</w:t>
      </w:r>
    </w:p>
    <w:p w:rsidR="00A77FBA" w:rsidRPr="00A77FBA" w:rsidRDefault="00A77FBA" w:rsidP="00A77FBA">
      <w:pPr>
        <w:numPr>
          <w:ilvl w:val="1"/>
          <w:numId w:val="1"/>
        </w:numPr>
        <w:shd w:val="clear" w:color="auto" w:fill="FFFFFF"/>
        <w:spacing w:after="150" w:line="240" w:lineRule="auto"/>
        <w:ind w:left="150"/>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il rispetto della normativa in materia di protezione dei dati personali</w:t>
      </w:r>
    </w:p>
    <w:p w:rsidR="00A77FBA" w:rsidRPr="00A77FBA" w:rsidRDefault="00A77FBA" w:rsidP="00A77FBA">
      <w:pPr>
        <w:numPr>
          <w:ilvl w:val="0"/>
          <w:numId w:val="1"/>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che le prove di esame possano essere precedute da </w:t>
      </w:r>
      <w:r w:rsidRPr="00A77FBA">
        <w:rPr>
          <w:rFonts w:ascii="Arial" w:eastAsia="Times New Roman" w:hAnsi="Arial" w:cs="Arial"/>
          <w:b/>
          <w:bCs/>
          <w:color w:val="000000"/>
          <w:sz w:val="23"/>
          <w:szCs w:val="23"/>
          <w:lang w:eastAsia="it-IT"/>
        </w:rPr>
        <w:t>forme di preselezione con test predisposti anche da imprese e soggetti specializzati in selezione di personale</w:t>
      </w:r>
    </w:p>
    <w:p w:rsidR="00A77FBA" w:rsidRPr="00A77FBA" w:rsidRDefault="00A77FBA" w:rsidP="00A77FBA">
      <w:pPr>
        <w:numPr>
          <w:ilvl w:val="0"/>
          <w:numId w:val="1"/>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che i contenuti di ciascuna prova siano disciplinati dalle singole amministrazioni responsabili</w:t>
      </w:r>
    </w:p>
    <w:p w:rsidR="00A77FBA" w:rsidRPr="00A77FBA" w:rsidRDefault="00A77FBA" w:rsidP="00A77FBA">
      <w:pPr>
        <w:numPr>
          <w:ilvl w:val="0"/>
          <w:numId w:val="1"/>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le amministrazioni prevedono che per l’assunzione di profili specializzati, oltre alle competenze siano valutate le esperienze lavorative pregresse e pertinenti</w:t>
      </w:r>
    </w:p>
    <w:p w:rsidR="00A77FBA" w:rsidRPr="00A77FBA" w:rsidRDefault="00A77FBA" w:rsidP="00A77FBA">
      <w:pPr>
        <w:numPr>
          <w:ilvl w:val="0"/>
          <w:numId w:val="1"/>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per i </w:t>
      </w:r>
      <w:r w:rsidRPr="00A77FBA">
        <w:rPr>
          <w:rFonts w:ascii="Arial" w:eastAsia="Times New Roman" w:hAnsi="Arial" w:cs="Arial"/>
          <w:b/>
          <w:bCs/>
          <w:color w:val="000000"/>
          <w:sz w:val="23"/>
          <w:szCs w:val="23"/>
          <w:lang w:eastAsia="it-IT"/>
        </w:rPr>
        <w:t>profili qualificati dalle amministrazioni</w:t>
      </w:r>
      <w:r w:rsidRPr="00A77FBA">
        <w:rPr>
          <w:rFonts w:ascii="Arial" w:eastAsia="Times New Roman" w:hAnsi="Arial" w:cs="Arial"/>
          <w:color w:val="000000"/>
          <w:sz w:val="23"/>
          <w:szCs w:val="23"/>
          <w:lang w:eastAsia="it-IT"/>
        </w:rPr>
        <w:t>, in sede di bando, ad </w:t>
      </w:r>
      <w:r w:rsidRPr="00A77FBA">
        <w:rPr>
          <w:rFonts w:ascii="Arial" w:eastAsia="Times New Roman" w:hAnsi="Arial" w:cs="Arial"/>
          <w:b/>
          <w:bCs/>
          <w:color w:val="000000"/>
          <w:sz w:val="23"/>
          <w:szCs w:val="23"/>
          <w:lang w:eastAsia="it-IT"/>
        </w:rPr>
        <w:t>elevata specializzazione tecnica</w:t>
      </w:r>
      <w:r w:rsidRPr="00A77FBA">
        <w:rPr>
          <w:rFonts w:ascii="Arial" w:eastAsia="Times New Roman" w:hAnsi="Arial" w:cs="Arial"/>
          <w:color w:val="000000"/>
          <w:sz w:val="23"/>
          <w:szCs w:val="23"/>
          <w:lang w:eastAsia="it-IT"/>
        </w:rPr>
        <w:t>, una </w:t>
      </w:r>
      <w:r w:rsidRPr="00A77FBA">
        <w:rPr>
          <w:rFonts w:ascii="Arial" w:eastAsia="Times New Roman" w:hAnsi="Arial" w:cs="Arial"/>
          <w:b/>
          <w:bCs/>
          <w:color w:val="000000"/>
          <w:sz w:val="23"/>
          <w:szCs w:val="23"/>
          <w:lang w:eastAsia="it-IT"/>
        </w:rPr>
        <w:t>fase di valutazione dei titoli legalmente riconosciuti</w:t>
      </w:r>
      <w:r w:rsidRPr="00A77FBA">
        <w:rPr>
          <w:rFonts w:ascii="Arial" w:eastAsia="Times New Roman" w:hAnsi="Arial" w:cs="Arial"/>
          <w:color w:val="000000"/>
          <w:sz w:val="23"/>
          <w:szCs w:val="23"/>
          <w:lang w:eastAsia="it-IT"/>
        </w:rPr>
        <w:t> e strettamente correlati alla natura e alle caratteristiche delle posizioni bandite, ai fini dell'ammissione a successive fasi concorsuali</w:t>
      </w:r>
    </w:p>
    <w:p w:rsidR="00A77FBA" w:rsidRPr="00A77FBA" w:rsidRDefault="00A77FBA" w:rsidP="00A77FBA">
      <w:pPr>
        <w:numPr>
          <w:ilvl w:val="0"/>
          <w:numId w:val="1"/>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che i </w:t>
      </w:r>
      <w:r w:rsidRPr="00A77FBA">
        <w:rPr>
          <w:rFonts w:ascii="Arial" w:eastAsia="Times New Roman" w:hAnsi="Arial" w:cs="Arial"/>
          <w:b/>
          <w:bCs/>
          <w:color w:val="000000"/>
          <w:sz w:val="23"/>
          <w:szCs w:val="23"/>
          <w:lang w:eastAsia="it-IT"/>
        </w:rPr>
        <w:t>titoli e l'eventuale esperienza professionale</w:t>
      </w:r>
      <w:r w:rsidRPr="00A77FBA">
        <w:rPr>
          <w:rFonts w:ascii="Arial" w:eastAsia="Times New Roman" w:hAnsi="Arial" w:cs="Arial"/>
          <w:color w:val="000000"/>
          <w:sz w:val="23"/>
          <w:szCs w:val="23"/>
          <w:lang w:eastAsia="it-IT"/>
        </w:rPr>
        <w:t>, inclusi i titoli di servizio, possano concorrere, in misura non superiore a un terzo, alla formazione del punteggio finale</w:t>
      </w:r>
    </w:p>
    <w:p w:rsidR="00A77FBA" w:rsidRPr="00A77FBA" w:rsidRDefault="00A77FBA" w:rsidP="00A77FBA">
      <w:pPr>
        <w:numPr>
          <w:ilvl w:val="0"/>
          <w:numId w:val="1"/>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le </w:t>
      </w:r>
      <w:r w:rsidRPr="00A77FBA">
        <w:rPr>
          <w:rFonts w:ascii="Arial" w:eastAsia="Times New Roman" w:hAnsi="Arial" w:cs="Arial"/>
          <w:b/>
          <w:bCs/>
          <w:color w:val="000000"/>
          <w:sz w:val="23"/>
          <w:szCs w:val="23"/>
          <w:lang w:eastAsia="it-IT"/>
        </w:rPr>
        <w:t>commissioni esaminatrici dei concorsi possono essere suddivise in sottocommissioni</w:t>
      </w:r>
      <w:r w:rsidRPr="00A77FBA">
        <w:rPr>
          <w:rFonts w:ascii="Arial" w:eastAsia="Times New Roman" w:hAnsi="Arial" w:cs="Arial"/>
          <w:color w:val="000000"/>
          <w:sz w:val="23"/>
          <w:szCs w:val="23"/>
          <w:lang w:eastAsia="it-IT"/>
        </w:rPr>
        <w:t>, con l'integrazione di un numero di componenti pari a quello delle commissioni originarie e di un segretario aggiunto.</w:t>
      </w:r>
    </w:p>
    <w:p w:rsidR="00A77FBA" w:rsidRPr="00A77FBA" w:rsidRDefault="00A77FBA" w:rsidP="00A77FBA">
      <w:pPr>
        <w:numPr>
          <w:ilvl w:val="0"/>
          <w:numId w:val="1"/>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per ciascuna sottocommissione è nominato un presidente.</w:t>
      </w:r>
    </w:p>
    <w:p w:rsidR="00A77FBA" w:rsidRPr="00A77FBA" w:rsidRDefault="00A77FBA" w:rsidP="00A77FBA">
      <w:pPr>
        <w:numPr>
          <w:ilvl w:val="0"/>
          <w:numId w:val="1"/>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la commissione definisce in una seduta plenaria preparatoria procedure e criteri di valutazione omogenei e vincolanti per tutte le sottocommissioni.</w:t>
      </w:r>
    </w:p>
    <w:p w:rsidR="00A77FBA" w:rsidRPr="00A77FBA" w:rsidRDefault="00A77FBA" w:rsidP="00A77FBA">
      <w:pPr>
        <w:numPr>
          <w:ilvl w:val="0"/>
          <w:numId w:val="1"/>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procedure e criteri di valutazione sono pubblicati nel sito internet dell'amministrazione contestualmente alla graduatoria finale.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Le </w:t>
      </w:r>
      <w:r w:rsidRPr="00A77FBA">
        <w:rPr>
          <w:rFonts w:ascii="Arial" w:eastAsia="Times New Roman" w:hAnsi="Arial" w:cs="Arial"/>
          <w:b/>
          <w:bCs/>
          <w:color w:val="000000"/>
          <w:sz w:val="21"/>
          <w:szCs w:val="21"/>
          <w:lang w:eastAsia="it-IT"/>
        </w:rPr>
        <w:t>procedure di reclutamento</w:t>
      </w:r>
      <w:r w:rsidRPr="00A77FBA">
        <w:rPr>
          <w:rFonts w:ascii="Arial" w:eastAsia="Times New Roman" w:hAnsi="Arial" w:cs="Arial"/>
          <w:color w:val="000000"/>
          <w:sz w:val="21"/>
          <w:szCs w:val="21"/>
          <w:lang w:eastAsia="it-IT"/>
        </w:rPr>
        <w:t> si svolgono con </w:t>
      </w:r>
      <w:r w:rsidRPr="00A77FBA">
        <w:rPr>
          <w:rFonts w:ascii="Arial" w:eastAsia="Times New Roman" w:hAnsi="Arial" w:cs="Arial"/>
          <w:b/>
          <w:bCs/>
          <w:color w:val="000000"/>
          <w:sz w:val="21"/>
          <w:szCs w:val="21"/>
          <w:lang w:eastAsia="it-IT"/>
        </w:rPr>
        <w:t>modalità</w:t>
      </w:r>
      <w:r w:rsidRPr="00A77FBA">
        <w:rPr>
          <w:rFonts w:ascii="Arial" w:eastAsia="Times New Roman" w:hAnsi="Arial" w:cs="Arial"/>
          <w:color w:val="000000"/>
          <w:sz w:val="21"/>
          <w:szCs w:val="21"/>
          <w:lang w:eastAsia="it-IT"/>
        </w:rPr>
        <w:t> che</w:t>
      </w:r>
    </w:p>
    <w:p w:rsidR="00A77FBA" w:rsidRPr="00A77FBA" w:rsidRDefault="00A77FBA" w:rsidP="00A77FBA">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ne </w:t>
      </w:r>
      <w:r w:rsidRPr="00A77FBA">
        <w:rPr>
          <w:rFonts w:ascii="Arial" w:eastAsia="Times New Roman" w:hAnsi="Arial" w:cs="Arial"/>
          <w:b/>
          <w:bCs/>
          <w:color w:val="000000"/>
          <w:sz w:val="23"/>
          <w:szCs w:val="23"/>
          <w:lang w:eastAsia="it-IT"/>
        </w:rPr>
        <w:t>garantiscano</w:t>
      </w:r>
      <w:r w:rsidRPr="00A77FBA">
        <w:rPr>
          <w:rFonts w:ascii="Arial" w:eastAsia="Times New Roman" w:hAnsi="Arial" w:cs="Arial"/>
          <w:color w:val="000000"/>
          <w:sz w:val="23"/>
          <w:szCs w:val="23"/>
          <w:lang w:eastAsia="it-IT"/>
        </w:rPr>
        <w:t> l'imparzialità, l'efficienza, l'efficacia e la celerità di espletamento</w:t>
      </w:r>
    </w:p>
    <w:p w:rsidR="00A77FBA" w:rsidRPr="00A77FBA" w:rsidRDefault="00A77FBA" w:rsidP="00A77FBA">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b/>
          <w:bCs/>
          <w:color w:val="000000"/>
          <w:sz w:val="23"/>
          <w:szCs w:val="23"/>
          <w:lang w:eastAsia="it-IT"/>
        </w:rPr>
        <w:t>assicurino</w:t>
      </w:r>
      <w:r w:rsidRPr="00A77FBA">
        <w:rPr>
          <w:rFonts w:ascii="Arial" w:eastAsia="Times New Roman" w:hAnsi="Arial" w:cs="Arial"/>
          <w:color w:val="000000"/>
          <w:sz w:val="23"/>
          <w:szCs w:val="23"/>
          <w:lang w:eastAsia="it-IT"/>
        </w:rPr>
        <w:t> l'integrità delle prove, la sicurezza e la tracciabilità delle comunicazioni, ricorrendo all'utilizzo di sistemi digitali diretti anche a realizzare forme di preselezione ed a selezioni decentrate, anche non contestuali.</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Nel caso di </w:t>
      </w:r>
      <w:r w:rsidRPr="00A77FBA">
        <w:rPr>
          <w:rFonts w:ascii="Arial" w:eastAsia="Times New Roman" w:hAnsi="Arial" w:cs="Arial"/>
          <w:b/>
          <w:bCs/>
          <w:color w:val="000000"/>
          <w:sz w:val="21"/>
          <w:szCs w:val="21"/>
          <w:lang w:eastAsia="it-IT"/>
        </w:rPr>
        <w:t>selezioni non contestuali</w:t>
      </w:r>
      <w:r w:rsidRPr="00A77FBA">
        <w:rPr>
          <w:rFonts w:ascii="Arial" w:eastAsia="Times New Roman" w:hAnsi="Arial" w:cs="Arial"/>
          <w:color w:val="000000"/>
          <w:sz w:val="21"/>
          <w:szCs w:val="21"/>
          <w:lang w:eastAsia="it-IT"/>
        </w:rPr>
        <w:t>, le amministrazioni assicurano comunque la trasparenza e l'omogeneità delle prove somministrate in modo da garantire il medesimo grado di selettività tra tutti i partecipanti.</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3 commi 1 e 2)</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Ai </w:t>
      </w:r>
      <w:r w:rsidRPr="00A77FBA">
        <w:rPr>
          <w:rFonts w:ascii="Arial" w:eastAsia="Times New Roman" w:hAnsi="Arial" w:cs="Arial"/>
          <w:b/>
          <w:bCs/>
          <w:color w:val="000000"/>
          <w:sz w:val="21"/>
          <w:szCs w:val="21"/>
          <w:lang w:eastAsia="it-IT"/>
        </w:rPr>
        <w:t>concorsi banditi prima della data di entrata in vigore</w:t>
      </w:r>
      <w:r w:rsidRPr="00A77FBA">
        <w:rPr>
          <w:rFonts w:ascii="Arial" w:eastAsia="Times New Roman" w:hAnsi="Arial" w:cs="Arial"/>
          <w:color w:val="000000"/>
          <w:sz w:val="21"/>
          <w:szCs w:val="21"/>
          <w:lang w:eastAsia="it-IT"/>
        </w:rPr>
        <w:t> del decreto legge 36/22 continua ad applicarsi la disciplina vigente alla data di pubblicazione del bando.</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3 comma 4)</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b/>
          <w:bCs/>
          <w:color w:val="000000"/>
          <w:sz w:val="21"/>
          <w:szCs w:val="21"/>
          <w:lang w:eastAsia="it-IT"/>
        </w:rPr>
        <w:t>Previsto l’aggiornamento del DPR 487/94</w:t>
      </w:r>
      <w:r w:rsidRPr="00A77FBA">
        <w:rPr>
          <w:rFonts w:ascii="Arial" w:eastAsia="Times New Roman" w:hAnsi="Arial" w:cs="Arial"/>
          <w:color w:val="000000"/>
          <w:sz w:val="21"/>
          <w:szCs w:val="21"/>
          <w:lang w:eastAsia="it-IT"/>
        </w:rPr>
        <w:t> sulla base delle novità introdotte nel decreto legge e dei seguenti principi</w:t>
      </w:r>
    </w:p>
    <w:p w:rsidR="00A77FBA" w:rsidRPr="00A77FBA" w:rsidRDefault="00A77FBA" w:rsidP="00A77FBA">
      <w:pPr>
        <w:numPr>
          <w:ilvl w:val="0"/>
          <w:numId w:val="3"/>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lastRenderedPageBreak/>
        <w:t>raccolta organica delle disposizioni regolamentari che disciplinano la medesima materia</w:t>
      </w:r>
    </w:p>
    <w:p w:rsidR="00A77FBA" w:rsidRPr="00A77FBA" w:rsidRDefault="00A77FBA" w:rsidP="00A77FBA">
      <w:pPr>
        <w:numPr>
          <w:ilvl w:val="0"/>
          <w:numId w:val="3"/>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indicazione esplicita delle norme da abrogare</w:t>
      </w:r>
    </w:p>
    <w:p w:rsidR="00A77FBA" w:rsidRPr="00A77FBA" w:rsidRDefault="00A77FBA" w:rsidP="00A77FBA">
      <w:pPr>
        <w:numPr>
          <w:ilvl w:val="0"/>
          <w:numId w:val="3"/>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semplificazione e coordinamento, sotto il profilo formale e sostanziale, del testo delle disposizioni vigenti</w:t>
      </w:r>
    </w:p>
    <w:p w:rsidR="00A77FBA" w:rsidRPr="00A77FBA" w:rsidRDefault="00A77FBA" w:rsidP="00A77FBA">
      <w:pPr>
        <w:numPr>
          <w:ilvl w:val="0"/>
          <w:numId w:val="3"/>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garanzia dell’unicità, contestualità, completezza, chiarezza e semplicità della disciplina.</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i/>
          <w:iCs/>
          <w:color w:val="000000"/>
          <w:sz w:val="21"/>
          <w:szCs w:val="21"/>
          <w:lang w:eastAsia="it-IT"/>
        </w:rPr>
        <w:t>(art. 3 comma 6)</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b/>
          <w:bCs/>
          <w:color w:val="000000"/>
          <w:sz w:val="21"/>
          <w:szCs w:val="21"/>
          <w:lang w:eastAsia="it-IT"/>
        </w:rPr>
        <w:t>Con ordinanza il Ministro della salute</w:t>
      </w:r>
      <w:r w:rsidRPr="00A77FBA">
        <w:rPr>
          <w:rFonts w:ascii="Arial" w:eastAsia="Times New Roman" w:hAnsi="Arial" w:cs="Arial"/>
          <w:color w:val="000000"/>
          <w:sz w:val="21"/>
          <w:szCs w:val="21"/>
          <w:lang w:eastAsia="it-IT"/>
        </w:rPr>
        <w:t>, su proposta del Ministro per la pubblica amministrazione, </w:t>
      </w:r>
      <w:r w:rsidRPr="00A77FBA">
        <w:rPr>
          <w:rFonts w:ascii="Arial" w:eastAsia="Times New Roman" w:hAnsi="Arial" w:cs="Arial"/>
          <w:b/>
          <w:bCs/>
          <w:color w:val="000000"/>
          <w:sz w:val="21"/>
          <w:szCs w:val="21"/>
          <w:lang w:eastAsia="it-IT"/>
        </w:rPr>
        <w:t>può aggiornare i protocolli per lo svolgimento dei concorsi pubblici in condizioni di sicurezza.</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3 comma 7).</w:t>
      </w:r>
    </w:p>
    <w:p w:rsidR="00A77FBA" w:rsidRPr="00A77FBA" w:rsidRDefault="00A77FBA" w:rsidP="00A77FBA">
      <w:pPr>
        <w:shd w:val="clear" w:color="auto" w:fill="FFFFFF"/>
        <w:spacing w:after="225" w:line="240" w:lineRule="auto"/>
        <w:jc w:val="center"/>
        <w:rPr>
          <w:rFonts w:ascii="Arial" w:eastAsia="Times New Roman" w:hAnsi="Arial" w:cs="Arial"/>
          <w:color w:val="000000"/>
          <w:sz w:val="21"/>
          <w:szCs w:val="21"/>
          <w:lang w:eastAsia="it-IT"/>
        </w:rPr>
      </w:pPr>
      <w:bookmarkStart w:id="5" w:name="passaggiodiretto"/>
      <w:bookmarkEnd w:id="5"/>
      <w:r w:rsidRPr="00A77FBA">
        <w:rPr>
          <w:rFonts w:ascii="Arial" w:eastAsia="Times New Roman" w:hAnsi="Arial" w:cs="Arial"/>
          <w:b/>
          <w:bCs/>
          <w:color w:val="000000"/>
          <w:sz w:val="21"/>
          <w:szCs w:val="21"/>
          <w:lang w:eastAsia="it-IT"/>
        </w:rPr>
        <w:t>Passaggio diretto di personale tra pubbliche amministrazioni diverse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In tema di passaggio diretto di personale tra amministrazioni diverse vengono introdotte le seguenti novità.</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bookmarkStart w:id="6" w:name="mobilità"/>
      <w:bookmarkEnd w:id="6"/>
      <w:r w:rsidRPr="00A77FBA">
        <w:rPr>
          <w:rFonts w:ascii="Arial" w:eastAsia="Times New Roman" w:hAnsi="Arial" w:cs="Arial"/>
          <w:i/>
          <w:iCs/>
          <w:color w:val="000000"/>
          <w:sz w:val="21"/>
          <w:szCs w:val="21"/>
          <w:lang w:eastAsia="it-IT"/>
        </w:rPr>
        <w:t>Mobilità</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b/>
          <w:bCs/>
          <w:color w:val="000000"/>
          <w:sz w:val="21"/>
          <w:szCs w:val="21"/>
          <w:lang w:eastAsia="it-IT"/>
        </w:rPr>
        <w:t>A decorrere dal 1° luglio 2022</w:t>
      </w:r>
      <w:r w:rsidRPr="00A77FBA">
        <w:rPr>
          <w:rFonts w:ascii="Arial" w:eastAsia="Times New Roman" w:hAnsi="Arial" w:cs="Arial"/>
          <w:color w:val="000000"/>
          <w:sz w:val="21"/>
          <w:szCs w:val="21"/>
          <w:lang w:eastAsia="it-IT"/>
        </w:rPr>
        <w:t> in ogni caso di avvio di procedure di mobilità, le amministrazioni provvedono a </w:t>
      </w:r>
      <w:r w:rsidRPr="00A77FBA">
        <w:rPr>
          <w:rFonts w:ascii="Arial" w:eastAsia="Times New Roman" w:hAnsi="Arial" w:cs="Arial"/>
          <w:b/>
          <w:bCs/>
          <w:color w:val="000000"/>
          <w:sz w:val="21"/>
          <w:szCs w:val="21"/>
          <w:lang w:eastAsia="it-IT"/>
        </w:rPr>
        <w:t>pubblicare il relativo avviso in una apposita sezione del portale del reclutamento</w:t>
      </w:r>
      <w:r w:rsidRPr="00A77FBA">
        <w:rPr>
          <w:rFonts w:ascii="Arial" w:eastAsia="Times New Roman" w:hAnsi="Arial" w:cs="Arial"/>
          <w:color w:val="000000"/>
          <w:sz w:val="21"/>
          <w:szCs w:val="21"/>
          <w:lang w:eastAsia="it-IT"/>
        </w:rPr>
        <w:t> </w:t>
      </w:r>
      <w:hyperlink r:id="rId20" w:history="1">
        <w:r w:rsidRPr="00A77FBA">
          <w:rPr>
            <w:rFonts w:ascii="Arial" w:eastAsia="Times New Roman" w:hAnsi="Arial" w:cs="Arial"/>
            <w:color w:val="005EB3"/>
            <w:sz w:val="21"/>
            <w:szCs w:val="21"/>
            <w:lang w:eastAsia="it-IT"/>
          </w:rPr>
          <w:t>www.InPa.gov.it</w:t>
        </w:r>
      </w:hyperlink>
      <w:r w:rsidRPr="00A77FBA">
        <w:rPr>
          <w:rFonts w:ascii="Arial" w:eastAsia="Times New Roman" w:hAnsi="Arial" w:cs="Arial"/>
          <w:color w:val="000000"/>
          <w:sz w:val="21"/>
          <w:szCs w:val="21"/>
          <w:lang w:eastAsia="it-IT"/>
        </w:rPr>
        <w:t>. Il personale interessato alla partecipazione invia la propria candidatura, per qualsiasi posizione disponibile, previa registrazione nel portale corredata dal proprio curriculum vitae esclusivamente in formato digitale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bookmarkStart w:id="7" w:name="comandidistacchi"/>
      <w:bookmarkEnd w:id="7"/>
      <w:r w:rsidRPr="00A77FBA">
        <w:rPr>
          <w:rFonts w:ascii="Arial" w:eastAsia="Times New Roman" w:hAnsi="Arial" w:cs="Arial"/>
          <w:i/>
          <w:iCs/>
          <w:color w:val="000000"/>
          <w:sz w:val="21"/>
          <w:szCs w:val="21"/>
          <w:lang w:eastAsia="it-IT"/>
        </w:rPr>
        <w:t>Comandi e distacchi</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Per il personale non dirigenziale delle amministrazioni di cui all’articolo 1, comma 2, </w:t>
      </w:r>
      <w:r w:rsidRPr="00A77FBA">
        <w:rPr>
          <w:rFonts w:ascii="Arial" w:eastAsia="Times New Roman" w:hAnsi="Arial" w:cs="Arial"/>
          <w:b/>
          <w:bCs/>
          <w:color w:val="000000"/>
          <w:sz w:val="21"/>
          <w:szCs w:val="21"/>
          <w:lang w:eastAsia="it-IT"/>
        </w:rPr>
        <w:t>i comandi o distacchi sono consentiti esclusivamente nel limite del venticinque per cento dei posti non coperti, all’esito delle procedure di mobilità. </w:t>
      </w:r>
      <w:r w:rsidRPr="00A77FBA">
        <w:rPr>
          <w:rFonts w:ascii="Arial" w:eastAsia="Times New Roman" w:hAnsi="Arial" w:cs="Arial"/>
          <w:color w:val="000000"/>
          <w:sz w:val="21"/>
          <w:szCs w:val="21"/>
          <w:lang w:eastAsia="it-IT"/>
        </w:rPr>
        <w:t>Tale disposizione non si applica ai comandi o distacchi obbligatori previsti da disposizioni di legge.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I comandi o distacchi comunque denominati, in corso al 1° maggio 2022 (ad eccezione di quelli previsti da disposizioni di legge) </w:t>
      </w:r>
      <w:r w:rsidRPr="00A77FBA">
        <w:rPr>
          <w:rFonts w:ascii="Arial" w:eastAsia="Times New Roman" w:hAnsi="Arial" w:cs="Arial"/>
          <w:b/>
          <w:bCs/>
          <w:color w:val="000000"/>
          <w:sz w:val="21"/>
          <w:szCs w:val="21"/>
          <w:lang w:eastAsia="it-IT"/>
        </w:rPr>
        <w:t>cessano alla data del 31 dicembre 2022 o, alla naturale scadenza se successiva</w:t>
      </w:r>
      <w:r w:rsidRPr="00A77FBA">
        <w:rPr>
          <w:rFonts w:ascii="Arial" w:eastAsia="Times New Roman" w:hAnsi="Arial" w:cs="Arial"/>
          <w:color w:val="000000"/>
          <w:sz w:val="21"/>
          <w:szCs w:val="21"/>
          <w:lang w:eastAsia="it-IT"/>
        </w:rPr>
        <w:t> alla predetta data, qualora le amministrazioni non abbiano già attivato specifiche procedure straordinarie di inquadramento.</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bookmarkStart w:id="8" w:name="inquadramentoruolo"/>
      <w:bookmarkEnd w:id="8"/>
      <w:r w:rsidRPr="00A77FBA">
        <w:rPr>
          <w:rFonts w:ascii="Arial" w:eastAsia="Times New Roman" w:hAnsi="Arial" w:cs="Arial"/>
          <w:i/>
          <w:iCs/>
          <w:color w:val="000000"/>
          <w:sz w:val="21"/>
          <w:szCs w:val="21"/>
          <w:lang w:eastAsia="it-IT"/>
        </w:rPr>
        <w:t>Procedure straordinarie di inquadramento in ruolo</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Le amministrazioni interessate possono </w:t>
      </w:r>
      <w:r w:rsidRPr="00A77FBA">
        <w:rPr>
          <w:rFonts w:ascii="Arial" w:eastAsia="Times New Roman" w:hAnsi="Arial" w:cs="Arial"/>
          <w:b/>
          <w:bCs/>
          <w:color w:val="000000"/>
          <w:sz w:val="21"/>
          <w:szCs w:val="21"/>
          <w:lang w:eastAsia="it-IT"/>
        </w:rPr>
        <w:t>attivare procedure straordinarie di inquadramento in ruolo, fino al 31 dicembre 2022, a favore del personale già in servizio a tempo indeterminato che alla data del 31 gennaio 2022 si trovava in posizione di comando o distacco.</w:t>
      </w:r>
      <w:r w:rsidRPr="00A77FBA">
        <w:rPr>
          <w:rFonts w:ascii="Arial" w:eastAsia="Times New Roman" w:hAnsi="Arial" w:cs="Arial"/>
          <w:color w:val="000000"/>
          <w:sz w:val="21"/>
          <w:szCs w:val="21"/>
          <w:lang w:eastAsia="it-IT"/>
        </w:rPr>
        <w:t xml:space="preserve"> L’inquadramento può riguardare fino al 50 per cento delle vigenti facoltà </w:t>
      </w:r>
      <w:proofErr w:type="spellStart"/>
      <w:r w:rsidRPr="00A77FBA">
        <w:rPr>
          <w:rFonts w:ascii="Arial" w:eastAsia="Times New Roman" w:hAnsi="Arial" w:cs="Arial"/>
          <w:color w:val="000000"/>
          <w:sz w:val="21"/>
          <w:szCs w:val="21"/>
          <w:lang w:eastAsia="it-IT"/>
        </w:rPr>
        <w:t>assunzionali</w:t>
      </w:r>
      <w:proofErr w:type="spellEnd"/>
      <w:r w:rsidRPr="00A77FBA">
        <w:rPr>
          <w:rFonts w:ascii="Arial" w:eastAsia="Times New Roman" w:hAnsi="Arial" w:cs="Arial"/>
          <w:color w:val="000000"/>
          <w:sz w:val="21"/>
          <w:szCs w:val="21"/>
          <w:lang w:eastAsia="it-IT"/>
        </w:rPr>
        <w:t xml:space="preserve"> e nell’ambito della dotazione organica. Per le procedure straordinarie si tiene conto</w:t>
      </w:r>
    </w:p>
    <w:p w:rsidR="00A77FBA" w:rsidRPr="00A77FBA" w:rsidRDefault="00A77FBA" w:rsidP="00A77FBA">
      <w:pPr>
        <w:numPr>
          <w:ilvl w:val="0"/>
          <w:numId w:val="4"/>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della anzianità maturata in comando o distacco,</w:t>
      </w:r>
    </w:p>
    <w:p w:rsidR="00A77FBA" w:rsidRPr="00A77FBA" w:rsidRDefault="00A77FBA" w:rsidP="00A77FBA">
      <w:pPr>
        <w:numPr>
          <w:ilvl w:val="0"/>
          <w:numId w:val="4"/>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del rendimento conseguito</w:t>
      </w:r>
    </w:p>
    <w:p w:rsidR="00A77FBA" w:rsidRPr="00A77FBA" w:rsidRDefault="00A77FBA" w:rsidP="00A77FBA">
      <w:pPr>
        <w:numPr>
          <w:ilvl w:val="0"/>
          <w:numId w:val="4"/>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della idoneità alla specifica posizione da ricoprire.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Non è richiesto il nulla osta dell’amministrazione di provenienza.</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6 commi 1, 2 e 3)</w:t>
      </w:r>
    </w:p>
    <w:p w:rsidR="00A77FBA" w:rsidRPr="00A77FBA" w:rsidRDefault="00A77FBA" w:rsidP="00A77FBA">
      <w:pPr>
        <w:shd w:val="clear" w:color="auto" w:fill="FFFFFF"/>
        <w:spacing w:after="225" w:line="240" w:lineRule="auto"/>
        <w:jc w:val="center"/>
        <w:rPr>
          <w:rFonts w:ascii="Arial" w:eastAsia="Times New Roman" w:hAnsi="Arial" w:cs="Arial"/>
          <w:color w:val="000000"/>
          <w:sz w:val="21"/>
          <w:szCs w:val="21"/>
          <w:lang w:eastAsia="it-IT"/>
        </w:rPr>
      </w:pPr>
      <w:bookmarkStart w:id="9" w:name="codicecomportamento"/>
      <w:bookmarkEnd w:id="9"/>
      <w:r w:rsidRPr="00A77FBA">
        <w:rPr>
          <w:rFonts w:ascii="Arial" w:eastAsia="Times New Roman" w:hAnsi="Arial" w:cs="Arial"/>
          <w:b/>
          <w:bCs/>
          <w:color w:val="000000"/>
          <w:sz w:val="21"/>
          <w:szCs w:val="21"/>
          <w:lang w:eastAsia="it-IT"/>
        </w:rPr>
        <w:t>Codice di comportamento dei pubblici dipendenti</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Il codice di comportamento dei dipendenti delle pubbliche amministrazioni è </w:t>
      </w:r>
      <w:r w:rsidRPr="00A77FBA">
        <w:rPr>
          <w:rFonts w:ascii="Arial" w:eastAsia="Times New Roman" w:hAnsi="Arial" w:cs="Arial"/>
          <w:b/>
          <w:bCs/>
          <w:color w:val="000000"/>
          <w:sz w:val="21"/>
          <w:szCs w:val="21"/>
          <w:lang w:eastAsia="it-IT"/>
        </w:rPr>
        <w:t>aggiornato entro il 31 dicembre 2022.</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lastRenderedPageBreak/>
        <w:t>Il codice deve contenere una sezione dedicata al corretto </w:t>
      </w:r>
      <w:r w:rsidRPr="00A77FBA">
        <w:rPr>
          <w:rFonts w:ascii="Arial" w:eastAsia="Times New Roman" w:hAnsi="Arial" w:cs="Arial"/>
          <w:b/>
          <w:bCs/>
          <w:color w:val="000000"/>
          <w:sz w:val="21"/>
          <w:szCs w:val="21"/>
          <w:lang w:eastAsia="it-IT"/>
        </w:rPr>
        <w:t>utilizzo delle tecnologie informatiche</w:t>
      </w:r>
      <w:r w:rsidRPr="00A77FBA">
        <w:rPr>
          <w:rFonts w:ascii="Arial" w:eastAsia="Times New Roman" w:hAnsi="Arial" w:cs="Arial"/>
          <w:color w:val="000000"/>
          <w:sz w:val="21"/>
          <w:szCs w:val="21"/>
          <w:lang w:eastAsia="it-IT"/>
        </w:rPr>
        <w:t> e dei mezzi di informazione e social media da parte dei dipendenti pubblici, anche al fine di tutelare l’immagine della pubblica amministrazione.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Le pubbliche amministrazioni prevedono lo svolgimento di un </w:t>
      </w:r>
      <w:r w:rsidRPr="00A77FBA">
        <w:rPr>
          <w:rFonts w:ascii="Arial" w:eastAsia="Times New Roman" w:hAnsi="Arial" w:cs="Arial"/>
          <w:b/>
          <w:bCs/>
          <w:color w:val="000000"/>
          <w:sz w:val="21"/>
          <w:szCs w:val="21"/>
          <w:lang w:eastAsia="it-IT"/>
        </w:rPr>
        <w:t>ciclo formativo sui temi dell’etica pubblica e sul comportamento etico</w:t>
      </w:r>
      <w:r w:rsidRPr="00A77FBA">
        <w:rPr>
          <w:rFonts w:ascii="Arial" w:eastAsia="Times New Roman" w:hAnsi="Arial" w:cs="Arial"/>
          <w:color w:val="000000"/>
          <w:sz w:val="21"/>
          <w:szCs w:val="21"/>
          <w:lang w:eastAsia="it-IT"/>
        </w:rPr>
        <w:t>. La durata e intensità del percorso formativo sono proporzionate al grado di responsabilità e nell’ambito delle risorse finanziarie disponibili a legislazione vigente.</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4)</w:t>
      </w:r>
    </w:p>
    <w:p w:rsidR="00A77FBA" w:rsidRPr="00A77FBA" w:rsidRDefault="00A77FBA" w:rsidP="00A77FBA">
      <w:pPr>
        <w:shd w:val="clear" w:color="auto" w:fill="FFFFFF"/>
        <w:spacing w:after="225" w:line="240" w:lineRule="auto"/>
        <w:jc w:val="center"/>
        <w:rPr>
          <w:rFonts w:ascii="Arial" w:eastAsia="Times New Roman" w:hAnsi="Arial" w:cs="Arial"/>
          <w:color w:val="000000"/>
          <w:sz w:val="21"/>
          <w:szCs w:val="21"/>
          <w:lang w:eastAsia="it-IT"/>
        </w:rPr>
      </w:pPr>
      <w:bookmarkStart w:id="10" w:name="paritàgenere"/>
      <w:bookmarkEnd w:id="10"/>
      <w:r w:rsidRPr="00A77FBA">
        <w:rPr>
          <w:rFonts w:ascii="Arial" w:eastAsia="Times New Roman" w:hAnsi="Arial" w:cs="Arial"/>
          <w:b/>
          <w:bCs/>
          <w:color w:val="000000"/>
          <w:sz w:val="21"/>
          <w:szCs w:val="21"/>
          <w:lang w:eastAsia="it-IT"/>
        </w:rPr>
        <w:t>Parità di genere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Le amministrazioni </w:t>
      </w:r>
      <w:r w:rsidRPr="00A77FBA">
        <w:rPr>
          <w:rFonts w:ascii="Arial" w:eastAsia="Times New Roman" w:hAnsi="Arial" w:cs="Arial"/>
          <w:b/>
          <w:bCs/>
          <w:color w:val="000000"/>
          <w:sz w:val="21"/>
          <w:szCs w:val="21"/>
          <w:lang w:eastAsia="it-IT"/>
        </w:rPr>
        <w:t>adottano </w:t>
      </w:r>
      <w:r w:rsidRPr="00A77FBA">
        <w:rPr>
          <w:rFonts w:ascii="Arial" w:eastAsia="Times New Roman" w:hAnsi="Arial" w:cs="Arial"/>
          <w:color w:val="000000"/>
          <w:sz w:val="21"/>
          <w:szCs w:val="21"/>
          <w:lang w:eastAsia="it-IT"/>
        </w:rPr>
        <w:t>misure che attribuiscano vantaggi specifici </w:t>
      </w:r>
      <w:r w:rsidRPr="00A77FBA">
        <w:rPr>
          <w:rFonts w:ascii="Arial" w:eastAsia="Times New Roman" w:hAnsi="Arial" w:cs="Arial"/>
          <w:b/>
          <w:bCs/>
          <w:color w:val="000000"/>
          <w:sz w:val="21"/>
          <w:szCs w:val="21"/>
          <w:lang w:eastAsia="it-IT"/>
        </w:rPr>
        <w:t>oppure evitino o compensino svantaggi nelle carriere </w:t>
      </w:r>
      <w:r w:rsidRPr="00A77FBA">
        <w:rPr>
          <w:rFonts w:ascii="Arial" w:eastAsia="Times New Roman" w:hAnsi="Arial" w:cs="Arial"/>
          <w:color w:val="000000"/>
          <w:sz w:val="21"/>
          <w:szCs w:val="21"/>
          <w:lang w:eastAsia="it-IT"/>
        </w:rPr>
        <w:t>al genere meno rappresentato.</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I criteri di discriminazione positiva devono essere</w:t>
      </w:r>
    </w:p>
    <w:p w:rsidR="00A77FBA" w:rsidRPr="00A77FBA" w:rsidRDefault="00A77FBA" w:rsidP="00A77FBA">
      <w:pPr>
        <w:numPr>
          <w:ilvl w:val="0"/>
          <w:numId w:val="5"/>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proporzionati allo scopo da perseguire</w:t>
      </w:r>
    </w:p>
    <w:p w:rsidR="00A77FBA" w:rsidRPr="00A77FBA" w:rsidRDefault="00A77FBA" w:rsidP="00A77FBA">
      <w:pPr>
        <w:numPr>
          <w:ilvl w:val="0"/>
          <w:numId w:val="5"/>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adottati a parità di qualifica da ricoprire e di punteggio conseguito nelle prove concorsuali.</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Entro il 30 settembre 2022 il Dipartimento della funzione pubblica della Presidenza del Consiglio dei ministri di concerto con il Dipartimento delle pari opportunità, adotta specifiche linee guida.</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5)</w:t>
      </w:r>
    </w:p>
    <w:p w:rsidR="00A77FBA" w:rsidRPr="00A77FBA" w:rsidRDefault="00A77FBA" w:rsidP="00A77FBA">
      <w:pPr>
        <w:shd w:val="clear" w:color="auto" w:fill="FFFFFF"/>
        <w:spacing w:after="225" w:line="240" w:lineRule="auto"/>
        <w:jc w:val="center"/>
        <w:rPr>
          <w:rFonts w:ascii="Arial" w:eastAsia="Times New Roman" w:hAnsi="Arial" w:cs="Arial"/>
          <w:color w:val="000000"/>
          <w:sz w:val="21"/>
          <w:szCs w:val="21"/>
          <w:lang w:eastAsia="it-IT"/>
        </w:rPr>
      </w:pPr>
      <w:bookmarkStart w:id="11" w:name="modalitàreclutamento"/>
      <w:bookmarkEnd w:id="11"/>
      <w:r w:rsidRPr="00A77FBA">
        <w:rPr>
          <w:rFonts w:ascii="Arial" w:eastAsia="Times New Roman" w:hAnsi="Arial" w:cs="Arial"/>
          <w:b/>
          <w:bCs/>
          <w:color w:val="000000"/>
          <w:sz w:val="21"/>
          <w:szCs w:val="21"/>
          <w:lang w:eastAsia="it-IT"/>
        </w:rPr>
        <w:t>Modalità speciali di reclutamento per l’attuazione del PNRR</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Le modalità speciali per il reclutamento del personale per l'attuazione del PNRR previste dall’art. 1 del DL 80/21, possono essere utilizzate non solo dalle amministrazioni titolari degli interventi ma anche dei soggetti attuatori.</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10 comma 3).</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Tutte le amministrazioni pubbliche possono utilizzare le modalità speciali per il conferimento di incarichi professionali per l'attuazione del PNRR previste dall’art. 1 del DL 80/21.</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10 comma 4)</w:t>
      </w:r>
    </w:p>
    <w:p w:rsidR="00A77FBA" w:rsidRPr="00A77FBA" w:rsidRDefault="00A77FBA" w:rsidP="00A77FBA">
      <w:pPr>
        <w:shd w:val="clear" w:color="auto" w:fill="FFFFFF"/>
        <w:spacing w:after="225" w:line="240" w:lineRule="auto"/>
        <w:jc w:val="center"/>
        <w:rPr>
          <w:rFonts w:ascii="Arial" w:eastAsia="Times New Roman" w:hAnsi="Arial" w:cs="Arial"/>
          <w:color w:val="000000"/>
          <w:sz w:val="21"/>
          <w:szCs w:val="21"/>
          <w:lang w:eastAsia="it-IT"/>
        </w:rPr>
      </w:pPr>
      <w:bookmarkStart w:id="12" w:name="conferimentoincarichi"/>
      <w:bookmarkEnd w:id="12"/>
      <w:r w:rsidRPr="00A77FBA">
        <w:rPr>
          <w:rFonts w:ascii="Arial" w:eastAsia="Times New Roman" w:hAnsi="Arial" w:cs="Arial"/>
          <w:b/>
          <w:bCs/>
          <w:color w:val="000000"/>
          <w:sz w:val="21"/>
          <w:szCs w:val="21"/>
          <w:lang w:eastAsia="it-IT"/>
        </w:rPr>
        <w:t>Conferimento di incarichi per il Piano nazionale di ripresa e resilienza a lavoratori in quiescenza</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b/>
          <w:bCs/>
          <w:color w:val="000000"/>
          <w:sz w:val="21"/>
          <w:szCs w:val="21"/>
          <w:lang w:eastAsia="it-IT"/>
        </w:rPr>
        <w:t>Fino al 31 dicembre 2026</w:t>
      </w:r>
      <w:r w:rsidRPr="00A77FBA">
        <w:rPr>
          <w:rFonts w:ascii="Arial" w:eastAsia="Times New Roman" w:hAnsi="Arial" w:cs="Arial"/>
          <w:color w:val="000000"/>
          <w:sz w:val="21"/>
          <w:szCs w:val="21"/>
          <w:lang w:eastAsia="it-IT"/>
        </w:rPr>
        <w:t>, le amministrazioni titolari di interventi previsti nel Piano nazionale di ripresa e resilienza </w:t>
      </w:r>
      <w:r w:rsidRPr="00A77FBA">
        <w:rPr>
          <w:rFonts w:ascii="Arial" w:eastAsia="Times New Roman" w:hAnsi="Arial" w:cs="Arial"/>
          <w:b/>
          <w:bCs/>
          <w:color w:val="000000"/>
          <w:sz w:val="21"/>
          <w:szCs w:val="21"/>
          <w:lang w:eastAsia="it-IT"/>
        </w:rPr>
        <w:t>possono conferire incarichi individuali, con contratti di lavoro autonomo, ad esperti di particolare e comprovata specializzazione anche universitaria collocati in quiescenza da più di due anni.</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A tale personale possono essere conferiti di progettazione, coordinamento della sicurezza in fase di progettazione, direzione dei lavori, direzione dell'esecuzione, coordinamento della sicurezza in fase di esecuzione, di collaudo, nonché gli incarichi che la stazione appaltante ritenga indispensabili a supporto dell'attività del responsabile unico del procedimento.</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Inoltre </w:t>
      </w:r>
      <w:r w:rsidRPr="00A77FBA">
        <w:rPr>
          <w:rFonts w:ascii="Arial" w:eastAsia="Times New Roman" w:hAnsi="Arial" w:cs="Arial"/>
          <w:b/>
          <w:bCs/>
          <w:color w:val="000000"/>
          <w:sz w:val="21"/>
          <w:szCs w:val="21"/>
          <w:lang w:eastAsia="it-IT"/>
        </w:rPr>
        <w:t>può essere conferito anche l’incarico di Responsabile Unico del Procedimento (RUP)</w:t>
      </w:r>
      <w:r w:rsidRPr="00A77FBA">
        <w:rPr>
          <w:rFonts w:ascii="Arial" w:eastAsia="Times New Roman" w:hAnsi="Arial" w:cs="Arial"/>
          <w:color w:val="000000"/>
          <w:sz w:val="21"/>
          <w:szCs w:val="21"/>
          <w:lang w:eastAsia="it-IT"/>
        </w:rPr>
        <w:t> in presenza di particolari esigenze alle quali non è possibile far fronte con personale in servizio e per il tempo strettamente necessario all’espletamento delle procedure di reclutamento del personale dipendente.</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10 commi 1 e 2)</w:t>
      </w:r>
    </w:p>
    <w:p w:rsidR="00A77FBA" w:rsidRPr="00A77FBA" w:rsidRDefault="00A77FBA" w:rsidP="00A77FBA">
      <w:pPr>
        <w:shd w:val="clear" w:color="auto" w:fill="FFFFFF"/>
        <w:spacing w:after="225" w:line="240" w:lineRule="auto"/>
        <w:jc w:val="center"/>
        <w:rPr>
          <w:rFonts w:ascii="Arial" w:eastAsia="Times New Roman" w:hAnsi="Arial" w:cs="Arial"/>
          <w:color w:val="000000"/>
          <w:sz w:val="21"/>
          <w:szCs w:val="21"/>
          <w:lang w:eastAsia="it-IT"/>
        </w:rPr>
      </w:pPr>
      <w:bookmarkStart w:id="13" w:name="fondoinnovazione"/>
      <w:bookmarkEnd w:id="13"/>
      <w:r w:rsidRPr="00A77FBA">
        <w:rPr>
          <w:rFonts w:ascii="Arial" w:eastAsia="Times New Roman" w:hAnsi="Arial" w:cs="Arial"/>
          <w:b/>
          <w:bCs/>
          <w:color w:val="000000"/>
          <w:sz w:val="21"/>
          <w:szCs w:val="21"/>
          <w:lang w:eastAsia="it-IT"/>
        </w:rPr>
        <w:t>Fondo per l’innovazione tecnologica e la digitalizzazione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Il fondo per l’innovazione tecnologica e la digitalizzazione </w:t>
      </w:r>
      <w:r w:rsidRPr="00A77FBA">
        <w:rPr>
          <w:rFonts w:ascii="Arial" w:eastAsia="Times New Roman" w:hAnsi="Arial" w:cs="Arial"/>
          <w:b/>
          <w:bCs/>
          <w:color w:val="000000"/>
          <w:sz w:val="21"/>
          <w:szCs w:val="21"/>
          <w:lang w:eastAsia="it-IT"/>
        </w:rPr>
        <w:t>è destinato alla copertura delle spese per interventi, acquisti di beni e servizi, misure di sostegno attività di assistenza tecnica e progetti,</w:t>
      </w:r>
      <w:r w:rsidRPr="00A77FBA">
        <w:rPr>
          <w:rFonts w:ascii="Arial" w:eastAsia="Times New Roman" w:hAnsi="Arial" w:cs="Arial"/>
          <w:color w:val="000000"/>
          <w:sz w:val="21"/>
          <w:szCs w:val="21"/>
          <w:lang w:eastAsia="it-IT"/>
        </w:rPr>
        <w:t> nelle materie</w:t>
      </w:r>
    </w:p>
    <w:p w:rsidR="00A77FBA" w:rsidRPr="00A77FBA" w:rsidRDefault="00A77FBA" w:rsidP="00A77FBA">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dell’innovazione tecnologica,</w:t>
      </w:r>
    </w:p>
    <w:p w:rsidR="00A77FBA" w:rsidRPr="00A77FBA" w:rsidRDefault="00A77FBA" w:rsidP="00A77FBA">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lastRenderedPageBreak/>
        <w:t>dell’attuazione dell’agenda digitale italiana ed europea,</w:t>
      </w:r>
    </w:p>
    <w:p w:rsidR="00A77FBA" w:rsidRPr="00A77FBA" w:rsidRDefault="00A77FBA" w:rsidP="00A77FBA">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del programma strategico sull’intelligenza artificiale,</w:t>
      </w:r>
    </w:p>
    <w:p w:rsidR="00A77FBA" w:rsidRPr="00A77FBA" w:rsidRDefault="00A77FBA" w:rsidP="00A77FBA">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della strategia italiana per la banda ultra larga,</w:t>
      </w:r>
    </w:p>
    <w:p w:rsidR="00A77FBA" w:rsidRPr="00A77FBA" w:rsidRDefault="00A77FBA" w:rsidP="00A77FBA">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della digitalizzazione delle pubbliche amministrazioni e delle imprese,</w:t>
      </w:r>
    </w:p>
    <w:p w:rsidR="00A77FBA" w:rsidRPr="00A77FBA" w:rsidRDefault="00A77FBA" w:rsidP="00A77FBA">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della strategia nazionale dei dati pubblici,</w:t>
      </w:r>
    </w:p>
    <w:p w:rsidR="00A77FBA" w:rsidRPr="00A77FBA" w:rsidRDefault="00A77FBA" w:rsidP="00A77FBA">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dello sviluppo e della diffusione delle infrastrutture digitali materiali e immateriali e delle tecnologie tra cittadini, imprese e pubbliche amministrazioni</w:t>
      </w:r>
    </w:p>
    <w:p w:rsidR="00A77FBA" w:rsidRPr="00A77FBA" w:rsidRDefault="00A77FBA" w:rsidP="00A77FBA">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della diffusione delle competenze, dell’</w:t>
      </w:r>
      <w:r w:rsidRPr="00A77FBA">
        <w:rPr>
          <w:rFonts w:ascii="Arial" w:eastAsia="Times New Roman" w:hAnsi="Arial" w:cs="Arial"/>
          <w:b/>
          <w:bCs/>
          <w:color w:val="000000"/>
          <w:sz w:val="23"/>
          <w:szCs w:val="23"/>
          <w:lang w:eastAsia="it-IT"/>
        </w:rPr>
        <w:t>educazione</w:t>
      </w:r>
      <w:r w:rsidRPr="00A77FBA">
        <w:rPr>
          <w:rFonts w:ascii="Arial" w:eastAsia="Times New Roman" w:hAnsi="Arial" w:cs="Arial"/>
          <w:color w:val="000000"/>
          <w:sz w:val="23"/>
          <w:szCs w:val="23"/>
          <w:lang w:eastAsia="it-IT"/>
        </w:rPr>
        <w:t> e della </w:t>
      </w:r>
      <w:r w:rsidRPr="00A77FBA">
        <w:rPr>
          <w:rFonts w:ascii="Arial" w:eastAsia="Times New Roman" w:hAnsi="Arial" w:cs="Arial"/>
          <w:b/>
          <w:bCs/>
          <w:color w:val="000000"/>
          <w:sz w:val="23"/>
          <w:szCs w:val="23"/>
          <w:lang w:eastAsia="it-IT"/>
        </w:rPr>
        <w:t>cultura digitale</w:t>
      </w:r>
      <w:r w:rsidRPr="00A77FBA">
        <w:rPr>
          <w:rFonts w:ascii="Arial" w:eastAsia="Times New Roman" w:hAnsi="Arial" w:cs="Arial"/>
          <w:color w:val="000000"/>
          <w:sz w:val="23"/>
          <w:szCs w:val="23"/>
          <w:lang w:eastAsia="it-IT"/>
        </w:rPr>
        <w:t>.</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 xml:space="preserve">Tali interventi sono definiti con uno o più decreti del Presidente del Consiglio dei ministri o del Ministro delegato per l’innovazione tecnologica e la digitalizzazione e nel rispetto delle competenze attribuite dalla legge all’Agenzia per la </w:t>
      </w:r>
      <w:proofErr w:type="spellStart"/>
      <w:r w:rsidRPr="00A77FBA">
        <w:rPr>
          <w:rFonts w:ascii="Arial" w:eastAsia="Times New Roman" w:hAnsi="Arial" w:cs="Arial"/>
          <w:color w:val="000000"/>
          <w:sz w:val="21"/>
          <w:szCs w:val="21"/>
          <w:lang w:eastAsia="it-IT"/>
        </w:rPr>
        <w:t>Cybersicurezza</w:t>
      </w:r>
      <w:proofErr w:type="spellEnd"/>
      <w:r w:rsidRPr="00A77FBA">
        <w:rPr>
          <w:rFonts w:ascii="Arial" w:eastAsia="Times New Roman" w:hAnsi="Arial" w:cs="Arial"/>
          <w:color w:val="000000"/>
          <w:sz w:val="21"/>
          <w:szCs w:val="21"/>
          <w:lang w:eastAsia="it-IT"/>
        </w:rPr>
        <w:t xml:space="preserve"> Nazionale.</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32)</w:t>
      </w:r>
    </w:p>
    <w:p w:rsidR="00A77FBA" w:rsidRPr="00A77FBA" w:rsidRDefault="00A77FBA" w:rsidP="00A77FBA">
      <w:pPr>
        <w:pBdr>
          <w:bottom w:val="dotted" w:sz="6" w:space="3" w:color="CCCCCC"/>
        </w:pBdr>
        <w:shd w:val="clear" w:color="auto" w:fill="F2F2F2"/>
        <w:spacing w:before="300" w:after="150" w:line="240" w:lineRule="auto"/>
        <w:jc w:val="center"/>
        <w:outlineLvl w:val="4"/>
        <w:rPr>
          <w:rFonts w:ascii="Arial" w:eastAsia="Times New Roman" w:hAnsi="Arial" w:cs="Arial"/>
          <w:color w:val="535353"/>
          <w:sz w:val="27"/>
          <w:szCs w:val="27"/>
          <w:lang w:eastAsia="it-IT"/>
        </w:rPr>
      </w:pPr>
      <w:bookmarkStart w:id="14" w:name="universitàricerca"/>
      <w:bookmarkEnd w:id="14"/>
      <w:r w:rsidRPr="00A77FBA">
        <w:rPr>
          <w:rFonts w:ascii="Arial" w:eastAsia="Times New Roman" w:hAnsi="Arial" w:cs="Arial"/>
          <w:b/>
          <w:bCs/>
          <w:color w:val="535353"/>
          <w:sz w:val="27"/>
          <w:szCs w:val="27"/>
          <w:lang w:eastAsia="it-IT"/>
        </w:rPr>
        <w:t>UNIVERSITÀ, RICERCA E PNRR</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Le università, al fine di dare attuazione alle misure specifiche del PNRR e  a seguito di avvisi pubblicati dal Ministero dell’università e della ricerca, possono procedere alla copertura di posti di </w:t>
      </w:r>
      <w:r w:rsidRPr="00A77FBA">
        <w:rPr>
          <w:rFonts w:ascii="Arial" w:eastAsia="Times New Roman" w:hAnsi="Arial" w:cs="Arial"/>
          <w:b/>
          <w:bCs/>
          <w:color w:val="000000"/>
          <w:sz w:val="21"/>
          <w:szCs w:val="21"/>
          <w:lang w:eastAsia="it-IT"/>
        </w:rPr>
        <w:t>ricercatore a tempo determinato di tipo A, mediante chiamata diretta</w:t>
      </w:r>
      <w:r w:rsidRPr="00A77FBA">
        <w:rPr>
          <w:rFonts w:ascii="Arial" w:eastAsia="Times New Roman" w:hAnsi="Arial" w:cs="Arial"/>
          <w:color w:val="000000"/>
          <w:sz w:val="21"/>
          <w:szCs w:val="21"/>
          <w:lang w:eastAsia="it-IT"/>
        </w:rPr>
        <w:t xml:space="preserve">, riservate a studiosi che hanno ottenuto un Sigillo di Eccellenza (Seal of </w:t>
      </w:r>
      <w:proofErr w:type="spellStart"/>
      <w:r w:rsidRPr="00A77FBA">
        <w:rPr>
          <w:rFonts w:ascii="Arial" w:eastAsia="Times New Roman" w:hAnsi="Arial" w:cs="Arial"/>
          <w:color w:val="000000"/>
          <w:sz w:val="21"/>
          <w:szCs w:val="21"/>
          <w:lang w:eastAsia="it-IT"/>
        </w:rPr>
        <w:t>Excellence</w:t>
      </w:r>
      <w:proofErr w:type="spellEnd"/>
      <w:r w:rsidRPr="00A77FBA">
        <w:rPr>
          <w:rFonts w:ascii="Arial" w:eastAsia="Times New Roman" w:hAnsi="Arial" w:cs="Arial"/>
          <w:color w:val="000000"/>
          <w:sz w:val="21"/>
          <w:szCs w:val="21"/>
          <w:lang w:eastAsia="it-IT"/>
        </w:rPr>
        <w:t xml:space="preserve">) a seguito della partecipazione a bandi, emanati nell’ambito dei Programmi quadro </w:t>
      </w:r>
      <w:proofErr w:type="spellStart"/>
      <w:r w:rsidRPr="00A77FBA">
        <w:rPr>
          <w:rFonts w:ascii="Arial" w:eastAsia="Times New Roman" w:hAnsi="Arial" w:cs="Arial"/>
          <w:color w:val="000000"/>
          <w:sz w:val="21"/>
          <w:szCs w:val="21"/>
          <w:lang w:eastAsia="it-IT"/>
        </w:rPr>
        <w:t>Horizon</w:t>
      </w:r>
      <w:proofErr w:type="spellEnd"/>
      <w:r w:rsidRPr="00A77FBA">
        <w:rPr>
          <w:rFonts w:ascii="Arial" w:eastAsia="Times New Roman" w:hAnsi="Arial" w:cs="Arial"/>
          <w:color w:val="000000"/>
          <w:sz w:val="21"/>
          <w:szCs w:val="21"/>
          <w:lang w:eastAsia="it-IT"/>
        </w:rPr>
        <w:t xml:space="preserve"> 2020 ed </w:t>
      </w:r>
      <w:proofErr w:type="spellStart"/>
      <w:r w:rsidRPr="00A77FBA">
        <w:rPr>
          <w:rFonts w:ascii="Arial" w:eastAsia="Times New Roman" w:hAnsi="Arial" w:cs="Arial"/>
          <w:color w:val="000000"/>
          <w:sz w:val="21"/>
          <w:szCs w:val="21"/>
          <w:lang w:eastAsia="it-IT"/>
        </w:rPr>
        <w:t>Horizon</w:t>
      </w:r>
      <w:proofErr w:type="spellEnd"/>
      <w:r w:rsidRPr="00A77FBA">
        <w:rPr>
          <w:rFonts w:ascii="Arial" w:eastAsia="Times New Roman" w:hAnsi="Arial" w:cs="Arial"/>
          <w:color w:val="000000"/>
          <w:sz w:val="21"/>
          <w:szCs w:val="21"/>
          <w:lang w:eastAsia="it-IT"/>
        </w:rPr>
        <w:t xml:space="preserve"> Europe negli anni 2022 o precedenti, relativi alle Azioni Marie </w:t>
      </w:r>
      <w:proofErr w:type="spellStart"/>
      <w:r w:rsidRPr="00A77FBA">
        <w:rPr>
          <w:rFonts w:ascii="Arial" w:eastAsia="Times New Roman" w:hAnsi="Arial" w:cs="Arial"/>
          <w:color w:val="000000"/>
          <w:sz w:val="21"/>
          <w:szCs w:val="21"/>
          <w:lang w:eastAsia="it-IT"/>
        </w:rPr>
        <w:t>Skłodowska</w:t>
      </w:r>
      <w:proofErr w:type="spellEnd"/>
      <w:r w:rsidRPr="00A77FBA">
        <w:rPr>
          <w:rFonts w:ascii="Arial" w:eastAsia="Times New Roman" w:hAnsi="Arial" w:cs="Arial"/>
          <w:color w:val="000000"/>
          <w:sz w:val="21"/>
          <w:szCs w:val="21"/>
          <w:lang w:eastAsia="it-IT"/>
        </w:rPr>
        <w:t>-Curie (MSCA). Non è necessario il nulla osta del MUR.</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La </w:t>
      </w:r>
      <w:r w:rsidRPr="00A77FBA">
        <w:rPr>
          <w:rFonts w:ascii="Arial" w:eastAsia="Times New Roman" w:hAnsi="Arial" w:cs="Arial"/>
          <w:b/>
          <w:bCs/>
          <w:color w:val="000000"/>
          <w:sz w:val="21"/>
          <w:szCs w:val="21"/>
          <w:lang w:eastAsia="it-IT"/>
        </w:rPr>
        <w:t>medesima procedura di assunzione</w:t>
      </w:r>
      <w:r w:rsidRPr="00A77FBA">
        <w:rPr>
          <w:rFonts w:ascii="Arial" w:eastAsia="Times New Roman" w:hAnsi="Arial" w:cs="Arial"/>
          <w:color w:val="000000"/>
          <w:sz w:val="21"/>
          <w:szCs w:val="21"/>
          <w:lang w:eastAsia="it-IT"/>
        </w:rPr>
        <w:t> degli studiosi che hanno ottenuto un Sigillo di Eccellenza può essere utilizzata dagli </w:t>
      </w:r>
      <w:r w:rsidRPr="00A77FBA">
        <w:rPr>
          <w:rFonts w:ascii="Arial" w:eastAsia="Times New Roman" w:hAnsi="Arial" w:cs="Arial"/>
          <w:b/>
          <w:bCs/>
          <w:color w:val="000000"/>
          <w:sz w:val="21"/>
          <w:szCs w:val="21"/>
          <w:lang w:eastAsia="it-IT"/>
        </w:rPr>
        <w:t>enti pubblici di ricerca.</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La copertura delle assunzioni a tempo determinato è garantita dall’Investimento 1.2 della Missione 4, Componente 2, del Piano nazionale di ripresa e resilienza (Finanziamento di progetti presentati da giovani ricercatori), nel limite di 600 milioni di euro.</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 xml:space="preserve">Le chiamate dirette dei vincitori dei programmi di ricerca dello </w:t>
      </w:r>
      <w:proofErr w:type="spellStart"/>
      <w:r w:rsidRPr="00A77FBA">
        <w:rPr>
          <w:rFonts w:ascii="Arial" w:eastAsia="Times New Roman" w:hAnsi="Arial" w:cs="Arial"/>
          <w:color w:val="000000"/>
          <w:sz w:val="21"/>
          <w:szCs w:val="21"/>
          <w:lang w:eastAsia="it-IT"/>
        </w:rPr>
        <w:t>European</w:t>
      </w:r>
      <w:proofErr w:type="spellEnd"/>
      <w:r w:rsidRPr="00A77FBA">
        <w:rPr>
          <w:rFonts w:ascii="Arial" w:eastAsia="Times New Roman" w:hAnsi="Arial" w:cs="Arial"/>
          <w:color w:val="000000"/>
          <w:sz w:val="21"/>
          <w:szCs w:val="21"/>
          <w:lang w:eastAsia="it-IT"/>
        </w:rPr>
        <w:t xml:space="preserve"> </w:t>
      </w:r>
      <w:proofErr w:type="spellStart"/>
      <w:r w:rsidRPr="00A77FBA">
        <w:rPr>
          <w:rFonts w:ascii="Arial" w:eastAsia="Times New Roman" w:hAnsi="Arial" w:cs="Arial"/>
          <w:color w:val="000000"/>
          <w:sz w:val="21"/>
          <w:szCs w:val="21"/>
          <w:lang w:eastAsia="it-IT"/>
        </w:rPr>
        <w:t>Research</w:t>
      </w:r>
      <w:proofErr w:type="spellEnd"/>
      <w:r w:rsidRPr="00A77FBA">
        <w:rPr>
          <w:rFonts w:ascii="Arial" w:eastAsia="Times New Roman" w:hAnsi="Arial" w:cs="Arial"/>
          <w:color w:val="000000"/>
          <w:sz w:val="21"/>
          <w:szCs w:val="21"/>
          <w:lang w:eastAsia="it-IT"/>
        </w:rPr>
        <w:t xml:space="preserve"> </w:t>
      </w:r>
      <w:proofErr w:type="spellStart"/>
      <w:r w:rsidRPr="00A77FBA">
        <w:rPr>
          <w:rFonts w:ascii="Arial" w:eastAsia="Times New Roman" w:hAnsi="Arial" w:cs="Arial"/>
          <w:color w:val="000000"/>
          <w:sz w:val="21"/>
          <w:szCs w:val="21"/>
          <w:lang w:eastAsia="it-IT"/>
        </w:rPr>
        <w:t>Council</w:t>
      </w:r>
      <w:proofErr w:type="spellEnd"/>
      <w:r w:rsidRPr="00A77FBA">
        <w:rPr>
          <w:rFonts w:ascii="Arial" w:eastAsia="Times New Roman" w:hAnsi="Arial" w:cs="Arial"/>
          <w:color w:val="000000"/>
          <w:sz w:val="21"/>
          <w:szCs w:val="21"/>
          <w:lang w:eastAsia="it-IT"/>
        </w:rPr>
        <w:t xml:space="preserve"> avvengono anche in </w:t>
      </w:r>
      <w:r w:rsidRPr="00A77FBA">
        <w:rPr>
          <w:rFonts w:ascii="Arial" w:eastAsia="Times New Roman" w:hAnsi="Arial" w:cs="Arial"/>
          <w:b/>
          <w:bCs/>
          <w:color w:val="000000"/>
          <w:sz w:val="21"/>
          <w:szCs w:val="21"/>
          <w:lang w:eastAsia="it-IT"/>
        </w:rPr>
        <w:t xml:space="preserve">deroga alle facoltà </w:t>
      </w:r>
      <w:proofErr w:type="spellStart"/>
      <w:r w:rsidRPr="00A77FBA">
        <w:rPr>
          <w:rFonts w:ascii="Arial" w:eastAsia="Times New Roman" w:hAnsi="Arial" w:cs="Arial"/>
          <w:b/>
          <w:bCs/>
          <w:color w:val="000000"/>
          <w:sz w:val="21"/>
          <w:szCs w:val="21"/>
          <w:lang w:eastAsia="it-IT"/>
        </w:rPr>
        <w:t>assunzionali</w:t>
      </w:r>
      <w:proofErr w:type="spellEnd"/>
      <w:r w:rsidRPr="00A77FBA">
        <w:rPr>
          <w:rFonts w:ascii="Arial" w:eastAsia="Times New Roman" w:hAnsi="Arial" w:cs="Arial"/>
          <w:color w:val="000000"/>
          <w:sz w:val="21"/>
          <w:szCs w:val="21"/>
          <w:lang w:eastAsia="it-IT"/>
        </w:rPr>
        <w:t> e comunque nel limite di 10 milioni euro annui assegnati alle università statali secondo il riparto del fondo per il finanziamento ordinario</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 xml:space="preserve">Il conseguimento di finanziamenti nell’ambito dei programmi di ricerca dello </w:t>
      </w:r>
      <w:proofErr w:type="spellStart"/>
      <w:r w:rsidRPr="00A77FBA">
        <w:rPr>
          <w:rFonts w:ascii="Arial" w:eastAsia="Times New Roman" w:hAnsi="Arial" w:cs="Arial"/>
          <w:color w:val="000000"/>
          <w:sz w:val="21"/>
          <w:szCs w:val="21"/>
          <w:lang w:eastAsia="it-IT"/>
        </w:rPr>
        <w:t>European</w:t>
      </w:r>
      <w:proofErr w:type="spellEnd"/>
      <w:r w:rsidRPr="00A77FBA">
        <w:rPr>
          <w:rFonts w:ascii="Arial" w:eastAsia="Times New Roman" w:hAnsi="Arial" w:cs="Arial"/>
          <w:color w:val="000000"/>
          <w:sz w:val="21"/>
          <w:szCs w:val="21"/>
          <w:lang w:eastAsia="it-IT"/>
        </w:rPr>
        <w:t xml:space="preserve"> </w:t>
      </w:r>
      <w:proofErr w:type="spellStart"/>
      <w:r w:rsidRPr="00A77FBA">
        <w:rPr>
          <w:rFonts w:ascii="Arial" w:eastAsia="Times New Roman" w:hAnsi="Arial" w:cs="Arial"/>
          <w:color w:val="000000"/>
          <w:sz w:val="21"/>
          <w:szCs w:val="21"/>
          <w:lang w:eastAsia="it-IT"/>
        </w:rPr>
        <w:t>Research</w:t>
      </w:r>
      <w:proofErr w:type="spellEnd"/>
      <w:r w:rsidRPr="00A77FBA">
        <w:rPr>
          <w:rFonts w:ascii="Arial" w:eastAsia="Times New Roman" w:hAnsi="Arial" w:cs="Arial"/>
          <w:color w:val="000000"/>
          <w:sz w:val="21"/>
          <w:szCs w:val="21"/>
          <w:lang w:eastAsia="it-IT"/>
        </w:rPr>
        <w:t xml:space="preserve"> </w:t>
      </w:r>
      <w:proofErr w:type="spellStart"/>
      <w:r w:rsidRPr="00A77FBA">
        <w:rPr>
          <w:rFonts w:ascii="Arial" w:eastAsia="Times New Roman" w:hAnsi="Arial" w:cs="Arial"/>
          <w:color w:val="000000"/>
          <w:sz w:val="21"/>
          <w:szCs w:val="21"/>
          <w:lang w:eastAsia="it-IT"/>
        </w:rPr>
        <w:t>Council</w:t>
      </w:r>
      <w:proofErr w:type="spellEnd"/>
      <w:r w:rsidRPr="00A77FBA">
        <w:rPr>
          <w:rFonts w:ascii="Arial" w:eastAsia="Times New Roman" w:hAnsi="Arial" w:cs="Arial"/>
          <w:color w:val="000000"/>
          <w:sz w:val="21"/>
          <w:szCs w:val="21"/>
          <w:lang w:eastAsia="it-IT"/>
        </w:rPr>
        <w:t xml:space="preserve"> è considerato merito eccezionale ai sensi dell’art. 16 del D. </w:t>
      </w:r>
      <w:proofErr w:type="spellStart"/>
      <w:r w:rsidRPr="00A77FBA">
        <w:rPr>
          <w:rFonts w:ascii="Arial" w:eastAsia="Times New Roman" w:hAnsi="Arial" w:cs="Arial"/>
          <w:color w:val="000000"/>
          <w:sz w:val="21"/>
          <w:szCs w:val="21"/>
          <w:lang w:eastAsia="it-IT"/>
        </w:rPr>
        <w:t>Lgs</w:t>
      </w:r>
      <w:proofErr w:type="spellEnd"/>
      <w:r w:rsidRPr="00A77FBA">
        <w:rPr>
          <w:rFonts w:ascii="Arial" w:eastAsia="Times New Roman" w:hAnsi="Arial" w:cs="Arial"/>
          <w:color w:val="000000"/>
          <w:sz w:val="21"/>
          <w:szCs w:val="21"/>
          <w:lang w:eastAsia="it-IT"/>
        </w:rPr>
        <w:t>. 218/16. Non si applicano i limiti previsti dal comma 2 del citato art. 16 (5 per cento dell’organico dei ricercatori e tecnologi nel limite del numero di assunzioni fatte nel medesimo anno per concorso e a condizione che siano contabilizzate entrate ulteriori a ciò appositamente destinate).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Per l’attuazione delle misure sopra indicate da parte delle università italiane, statali e non statali legalmente riconosciute, degli istituti di istruzione universitaria a ordinamento speciale e degli enti pubblici di ricerca </w:t>
      </w:r>
      <w:r w:rsidRPr="00A77FBA">
        <w:rPr>
          <w:rFonts w:ascii="Arial" w:eastAsia="Times New Roman" w:hAnsi="Arial" w:cs="Arial"/>
          <w:b/>
          <w:bCs/>
          <w:color w:val="000000"/>
          <w:sz w:val="21"/>
          <w:szCs w:val="21"/>
          <w:lang w:eastAsia="it-IT"/>
        </w:rPr>
        <w:t>il MUR è autorizzato ad emanare uno specifico decreto entro 60 giorni dall’entrata in vigore del decreto legge.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Le risorse del PNRR per l’aumento del numero e dell’ammontare delle </w:t>
      </w:r>
      <w:r w:rsidRPr="00A77FBA">
        <w:rPr>
          <w:rFonts w:ascii="Arial" w:eastAsia="Times New Roman" w:hAnsi="Arial" w:cs="Arial"/>
          <w:b/>
          <w:bCs/>
          <w:color w:val="000000"/>
          <w:sz w:val="21"/>
          <w:szCs w:val="21"/>
          <w:lang w:eastAsia="it-IT"/>
        </w:rPr>
        <w:t>borse di studio per gli studenti universitari </w:t>
      </w:r>
      <w:r w:rsidRPr="00A77FBA">
        <w:rPr>
          <w:rFonts w:ascii="Arial" w:eastAsia="Times New Roman" w:hAnsi="Arial" w:cs="Arial"/>
          <w:color w:val="000000"/>
          <w:sz w:val="21"/>
          <w:szCs w:val="21"/>
          <w:lang w:eastAsia="it-IT"/>
        </w:rPr>
        <w:t>non costituiscono un incremento fondo integrativo statale per la concessione di borse di studio e pertanto non concorrono al computo della percentuale a carico delle regioni, con risorse proprie.</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b/>
          <w:bCs/>
          <w:color w:val="000000"/>
          <w:sz w:val="21"/>
          <w:szCs w:val="21"/>
          <w:lang w:eastAsia="it-IT"/>
        </w:rPr>
        <w:t>I percorsi di orientamento all’istruzione universitaria e all’alta formazione artistica, musicale e coreutica, si inseriscono strutturalmente negli ultimi tre anni di corso della scuola secondaria di secondo grado</w:t>
      </w:r>
      <w:r w:rsidRPr="00A77FBA">
        <w:rPr>
          <w:rFonts w:ascii="Arial" w:eastAsia="Times New Roman" w:hAnsi="Arial" w:cs="Arial"/>
          <w:color w:val="000000"/>
          <w:sz w:val="21"/>
          <w:szCs w:val="21"/>
          <w:lang w:eastAsia="it-IT"/>
        </w:rPr>
        <w:t xml:space="preserve"> (in precedenza negli ultimi due anni). A tal fine modificato l’art. 3 comma 2 del D. </w:t>
      </w:r>
      <w:proofErr w:type="spellStart"/>
      <w:r w:rsidRPr="00A77FBA">
        <w:rPr>
          <w:rFonts w:ascii="Arial" w:eastAsia="Times New Roman" w:hAnsi="Arial" w:cs="Arial"/>
          <w:color w:val="000000"/>
          <w:sz w:val="21"/>
          <w:szCs w:val="21"/>
          <w:lang w:eastAsia="it-IT"/>
        </w:rPr>
        <w:t>Lgs</w:t>
      </w:r>
      <w:proofErr w:type="spellEnd"/>
      <w:r w:rsidRPr="00A77FBA">
        <w:rPr>
          <w:rFonts w:ascii="Arial" w:eastAsia="Times New Roman" w:hAnsi="Arial" w:cs="Arial"/>
          <w:color w:val="000000"/>
          <w:sz w:val="21"/>
          <w:szCs w:val="21"/>
          <w:lang w:eastAsia="it-IT"/>
        </w:rPr>
        <w:t>. 21/08.</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14)</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b/>
          <w:bCs/>
          <w:color w:val="000000"/>
          <w:sz w:val="21"/>
          <w:szCs w:val="21"/>
          <w:lang w:eastAsia="it-IT"/>
        </w:rPr>
        <w:lastRenderedPageBreak/>
        <w:t>Prevista la modifica dello statuto dell’ENEA con l’istituzione della figura del Direttore Generale</w:t>
      </w:r>
      <w:r w:rsidRPr="00A77FBA">
        <w:rPr>
          <w:rFonts w:ascii="Arial" w:eastAsia="Times New Roman" w:hAnsi="Arial" w:cs="Arial"/>
          <w:color w:val="000000"/>
          <w:sz w:val="21"/>
          <w:szCs w:val="21"/>
          <w:lang w:eastAsia="it-IT"/>
        </w:rPr>
        <w:br/>
      </w:r>
      <w:r w:rsidRPr="00A77FBA">
        <w:rPr>
          <w:rFonts w:ascii="Arial" w:eastAsia="Times New Roman" w:hAnsi="Arial" w:cs="Arial"/>
          <w:i/>
          <w:iCs/>
          <w:color w:val="000000"/>
          <w:sz w:val="21"/>
          <w:szCs w:val="21"/>
          <w:lang w:eastAsia="it-IT"/>
        </w:rPr>
        <w:t>(art. 24 commi 2 e 3)</w:t>
      </w:r>
    </w:p>
    <w:p w:rsidR="00A77FBA" w:rsidRPr="00A77FBA" w:rsidRDefault="00A77FBA" w:rsidP="00A77FBA">
      <w:pPr>
        <w:shd w:val="clear" w:color="auto" w:fill="FFFFFF"/>
        <w:spacing w:after="225" w:line="240" w:lineRule="auto"/>
        <w:jc w:val="both"/>
        <w:rPr>
          <w:rFonts w:ascii="Arial" w:eastAsia="Times New Roman" w:hAnsi="Arial" w:cs="Arial"/>
          <w:color w:val="000000"/>
          <w:sz w:val="21"/>
          <w:szCs w:val="21"/>
          <w:lang w:eastAsia="it-IT"/>
        </w:rPr>
      </w:pPr>
      <w:r w:rsidRPr="00A77FBA">
        <w:rPr>
          <w:rFonts w:ascii="Arial" w:eastAsia="Times New Roman" w:hAnsi="Arial" w:cs="Arial"/>
          <w:color w:val="000000"/>
          <w:sz w:val="21"/>
          <w:szCs w:val="21"/>
          <w:lang w:eastAsia="it-IT"/>
        </w:rPr>
        <w:t>Previsto il </w:t>
      </w:r>
      <w:r w:rsidRPr="00A77FBA">
        <w:rPr>
          <w:rFonts w:ascii="Arial" w:eastAsia="Times New Roman" w:hAnsi="Arial" w:cs="Arial"/>
          <w:b/>
          <w:bCs/>
          <w:color w:val="000000"/>
          <w:sz w:val="21"/>
          <w:szCs w:val="21"/>
          <w:lang w:eastAsia="it-IT"/>
        </w:rPr>
        <w:t>riordino dell’agenzia spaziale italiana </w:t>
      </w:r>
      <w:r w:rsidRPr="00A77FBA">
        <w:rPr>
          <w:rFonts w:ascii="Arial" w:eastAsia="Times New Roman" w:hAnsi="Arial" w:cs="Arial"/>
          <w:color w:val="000000"/>
          <w:sz w:val="21"/>
          <w:szCs w:val="21"/>
          <w:lang w:eastAsia="it-IT"/>
        </w:rPr>
        <w:t>(ASI). In particolare</w:t>
      </w:r>
    </w:p>
    <w:p w:rsidR="00A77FBA" w:rsidRPr="00A77FBA" w:rsidRDefault="00A77FBA" w:rsidP="00A77FBA">
      <w:pPr>
        <w:numPr>
          <w:ilvl w:val="0"/>
          <w:numId w:val="7"/>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il Presidente del Consiglio dei ministri o il ministro o sottosegretario delegato, esercita nei confronti dell’A.S.I. poteri di indirizzo, coordinamento, programmazione e vigilanza.</w:t>
      </w:r>
    </w:p>
    <w:p w:rsidR="00A77FBA" w:rsidRPr="00A77FBA" w:rsidRDefault="00A77FBA" w:rsidP="00A77FBA">
      <w:pPr>
        <w:numPr>
          <w:ilvl w:val="0"/>
          <w:numId w:val="7"/>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Il Ministero dell’Università e della ricerca esercita poteri di indirizzo strategico limitatamente all’attività di ricerca scientifica svolta dall’A.S.I.</w:t>
      </w:r>
    </w:p>
    <w:p w:rsidR="00A77FBA" w:rsidRPr="00A77FBA" w:rsidRDefault="00A77FBA" w:rsidP="00A77FBA">
      <w:pPr>
        <w:numPr>
          <w:ilvl w:val="0"/>
          <w:numId w:val="7"/>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Il direttore generale è nominato dal Presidente dell'Agenzia, previa delibera del consiglio di amministrazione</w:t>
      </w:r>
    </w:p>
    <w:p w:rsidR="00A77FBA" w:rsidRPr="00A77FBA" w:rsidRDefault="00A77FBA" w:rsidP="00A77FBA">
      <w:pPr>
        <w:numPr>
          <w:ilvl w:val="0"/>
          <w:numId w:val="7"/>
        </w:numPr>
        <w:shd w:val="clear" w:color="auto" w:fill="FFFFFF"/>
        <w:spacing w:after="150" w:line="240" w:lineRule="auto"/>
        <w:ind w:left="75"/>
        <w:rPr>
          <w:rFonts w:ascii="Arial" w:eastAsia="Times New Roman" w:hAnsi="Arial" w:cs="Arial"/>
          <w:color w:val="000000"/>
          <w:sz w:val="23"/>
          <w:szCs w:val="23"/>
          <w:lang w:eastAsia="it-IT"/>
        </w:rPr>
      </w:pPr>
      <w:r w:rsidRPr="00A77FBA">
        <w:rPr>
          <w:rFonts w:ascii="Arial" w:eastAsia="Times New Roman" w:hAnsi="Arial" w:cs="Arial"/>
          <w:color w:val="000000"/>
          <w:sz w:val="23"/>
          <w:szCs w:val="23"/>
          <w:lang w:eastAsia="it-IT"/>
        </w:rPr>
        <w:t>nello stato di previsione del Ministero dell’economia e delle finanze è istituito un Fondo per il finanziamento dell’Agenzia Spaziale Italiana (A.S.I.), con una dotazione di 499 milioni di euro a decorrere dal 2022, destinato alla copertura delle spese di funzionamento e gestione dell’A.S.I., nonché al finanziamento delle attività dell’A.S.I., comprese quelle di svolgimento dei programmi in collaborazione con l’ESA. Le risorse del Fondo sono trasferite al bilancio autonomo della Presidenza del Consiglio dei ministri per essere assegnate all’Autorità delegata per le politiche spaziali e aerospaziali, che ne cura la ripartizione con apposito decreto.”</w:t>
      </w:r>
      <w:r w:rsidRPr="00A77FBA">
        <w:rPr>
          <w:rFonts w:ascii="Arial" w:eastAsia="Times New Roman" w:hAnsi="Arial" w:cs="Arial"/>
          <w:color w:val="000000"/>
          <w:sz w:val="23"/>
          <w:szCs w:val="23"/>
          <w:lang w:eastAsia="it-IT"/>
        </w:rPr>
        <w:br/>
      </w:r>
      <w:r w:rsidRPr="00A77FBA">
        <w:rPr>
          <w:rFonts w:ascii="Arial" w:eastAsia="Times New Roman" w:hAnsi="Arial" w:cs="Arial"/>
          <w:i/>
          <w:iCs/>
          <w:color w:val="000000"/>
          <w:sz w:val="23"/>
          <w:szCs w:val="23"/>
          <w:lang w:eastAsia="it-IT"/>
        </w:rPr>
        <w:t>(art. 30)</w:t>
      </w:r>
    </w:p>
    <w:sectPr w:rsidR="00A77FBA" w:rsidRPr="00A77F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112FD"/>
    <w:multiLevelType w:val="multilevel"/>
    <w:tmpl w:val="360A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D3BB3"/>
    <w:multiLevelType w:val="multilevel"/>
    <w:tmpl w:val="EA181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A21AAD"/>
    <w:multiLevelType w:val="multilevel"/>
    <w:tmpl w:val="1F9A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F75D6"/>
    <w:multiLevelType w:val="multilevel"/>
    <w:tmpl w:val="EAE4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9768C"/>
    <w:multiLevelType w:val="multilevel"/>
    <w:tmpl w:val="5108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341F76"/>
    <w:multiLevelType w:val="multilevel"/>
    <w:tmpl w:val="5682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E092C"/>
    <w:multiLevelType w:val="multilevel"/>
    <w:tmpl w:val="3A5E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73D4C"/>
    <w:multiLevelType w:val="multilevel"/>
    <w:tmpl w:val="AA04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0"/>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A"/>
    <w:rsid w:val="004A27F8"/>
    <w:rsid w:val="00A77FBA"/>
    <w:rsid w:val="00AE0A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E71A3-235D-4A43-B083-8013CAB9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7272">
      <w:bodyDiv w:val="1"/>
      <w:marLeft w:val="0"/>
      <w:marRight w:val="0"/>
      <w:marTop w:val="0"/>
      <w:marBottom w:val="0"/>
      <w:divBdr>
        <w:top w:val="none" w:sz="0" w:space="0" w:color="auto"/>
        <w:left w:val="none" w:sz="0" w:space="0" w:color="auto"/>
        <w:bottom w:val="none" w:sz="0" w:space="0" w:color="auto"/>
        <w:right w:val="none" w:sz="0" w:space="0" w:color="auto"/>
      </w:divBdr>
      <w:divsChild>
        <w:div w:id="1939557855">
          <w:marLeft w:val="0"/>
          <w:marRight w:val="0"/>
          <w:marTop w:val="75"/>
          <w:marBottom w:val="150"/>
          <w:divBdr>
            <w:top w:val="none" w:sz="0" w:space="0" w:color="auto"/>
            <w:left w:val="none" w:sz="0" w:space="0" w:color="auto"/>
            <w:bottom w:val="none" w:sz="0" w:space="0" w:color="auto"/>
            <w:right w:val="none" w:sz="0" w:space="0" w:color="auto"/>
          </w:divBdr>
          <w:divsChild>
            <w:div w:id="13880721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85895924">
          <w:marLeft w:val="0"/>
          <w:marRight w:val="0"/>
          <w:marTop w:val="0"/>
          <w:marBottom w:val="0"/>
          <w:divBdr>
            <w:top w:val="none" w:sz="0" w:space="0" w:color="auto"/>
            <w:left w:val="none" w:sz="0" w:space="0" w:color="auto"/>
            <w:bottom w:val="none" w:sz="0" w:space="0" w:color="auto"/>
            <w:right w:val="none" w:sz="0" w:space="0" w:color="auto"/>
          </w:divBdr>
          <w:divsChild>
            <w:div w:id="2023236126">
              <w:marLeft w:val="0"/>
              <w:marRight w:val="0"/>
              <w:marTop w:val="0"/>
              <w:marBottom w:val="0"/>
              <w:divBdr>
                <w:top w:val="none" w:sz="0" w:space="0" w:color="auto"/>
                <w:left w:val="none" w:sz="0" w:space="0" w:color="auto"/>
                <w:bottom w:val="none" w:sz="0" w:space="0" w:color="auto"/>
                <w:right w:val="none" w:sz="0" w:space="0" w:color="auto"/>
              </w:divBdr>
            </w:div>
            <w:div w:id="1989239650">
              <w:marLeft w:val="300"/>
              <w:marRight w:val="150"/>
              <w:marTop w:val="75"/>
              <w:marBottom w:val="0"/>
              <w:divBdr>
                <w:top w:val="none" w:sz="0" w:space="0" w:color="auto"/>
                <w:left w:val="none" w:sz="0" w:space="0" w:color="auto"/>
                <w:bottom w:val="none" w:sz="0" w:space="0" w:color="auto"/>
                <w:right w:val="none" w:sz="0" w:space="0" w:color="auto"/>
              </w:divBdr>
            </w:div>
            <w:div w:id="1456564739">
              <w:marLeft w:val="300"/>
              <w:marRight w:val="150"/>
              <w:marTop w:val="75"/>
              <w:marBottom w:val="0"/>
              <w:divBdr>
                <w:top w:val="none" w:sz="0" w:space="0" w:color="auto"/>
                <w:left w:val="none" w:sz="0" w:space="0" w:color="auto"/>
                <w:bottom w:val="none" w:sz="0" w:space="0" w:color="auto"/>
                <w:right w:val="none" w:sz="0" w:space="0" w:color="auto"/>
              </w:divBdr>
            </w:div>
          </w:divsChild>
        </w:div>
        <w:div w:id="1904174051">
          <w:marLeft w:val="0"/>
          <w:marRight w:val="0"/>
          <w:marTop w:val="150"/>
          <w:marBottom w:val="0"/>
          <w:divBdr>
            <w:top w:val="none" w:sz="0" w:space="0" w:color="auto"/>
            <w:left w:val="none" w:sz="0" w:space="0" w:color="auto"/>
            <w:bottom w:val="none" w:sz="0" w:space="0" w:color="auto"/>
            <w:right w:val="none" w:sz="0" w:space="0" w:color="auto"/>
          </w:divBdr>
          <w:divsChild>
            <w:div w:id="17497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cgil.it/attualita/decreto-legge-ulteriori-misure-urgenti-attuazione-pnrr-conseguenze-universita-ricerca-afam.flc" TargetMode="External"/><Relationship Id="rId13" Type="http://schemas.openxmlformats.org/officeDocument/2006/relationships/hyperlink" Target="http://www.flcgil.it/attualita/decreto-legge-ulteriori-misure-urgenti-attuazione-pnrr-conseguenze-universita-ricerca-afam.flc" TargetMode="External"/><Relationship Id="rId18" Type="http://schemas.openxmlformats.org/officeDocument/2006/relationships/hyperlink" Target="http://www.flcgil.it/attualita/decreto-legge-ulteriori-misure-urgenti-attuazione-pnrr-conseguenze-universita-ricerca-afam.fl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lcgil.it/attualita/decreto-legge-ulteriori-misure-urgenti-attuazione-pnrr-conseguenze-universita-ricerca-afam.flc" TargetMode="External"/><Relationship Id="rId12" Type="http://schemas.openxmlformats.org/officeDocument/2006/relationships/hyperlink" Target="http://www.flcgil.it/attualita/decreto-legge-ulteriori-misure-urgenti-attuazione-pnrr-conseguenze-universita-ricerca-afam.flc" TargetMode="External"/><Relationship Id="rId17" Type="http://schemas.openxmlformats.org/officeDocument/2006/relationships/hyperlink" Target="http://www.flcgil.it/attualita/decreto-legge-ulteriori-misure-urgenti-attuazione-pnrr-conseguenze-universita-ricerca-afam.flc" TargetMode="External"/><Relationship Id="rId2" Type="http://schemas.openxmlformats.org/officeDocument/2006/relationships/styles" Target="styles.xml"/><Relationship Id="rId16" Type="http://schemas.openxmlformats.org/officeDocument/2006/relationships/hyperlink" Target="http://www.flcgil.it/attualita/decreto-legge-ulteriori-misure-urgenti-attuazione-pnrr-conseguenze-universita-ricerca-afam.flc" TargetMode="External"/><Relationship Id="rId20" Type="http://schemas.openxmlformats.org/officeDocument/2006/relationships/hyperlink" Target="http://www.inpa.gov.it/" TargetMode="External"/><Relationship Id="rId1" Type="http://schemas.openxmlformats.org/officeDocument/2006/relationships/numbering" Target="numbering.xml"/><Relationship Id="rId6" Type="http://schemas.openxmlformats.org/officeDocument/2006/relationships/hyperlink" Target="http://www.flcgil.it/attualita/decreto-legge-ulteriori-misure-urgenti-attuazione-pnrr-conseguenze-universita-ricerca-afam.flc" TargetMode="External"/><Relationship Id="rId11" Type="http://schemas.openxmlformats.org/officeDocument/2006/relationships/hyperlink" Target="http://www.flcgil.it/attualita/decreto-legge-ulteriori-misure-urgenti-attuazione-pnrr-conseguenze-universita-ricerca-afam.flc" TargetMode="External"/><Relationship Id="rId5" Type="http://schemas.openxmlformats.org/officeDocument/2006/relationships/hyperlink" Target="http://www.flcgil.it/leggi-normative/documenti/decreti-legge/decreto-legge-36-del-30-aprile-2022-ulteriori-misure-urgenti-attuazione-piano-nazionale-ripresa-resilienza-pnrr.flc" TargetMode="External"/><Relationship Id="rId15" Type="http://schemas.openxmlformats.org/officeDocument/2006/relationships/hyperlink" Target="http://www.flcgil.it/attualita/decreto-legge-ulteriori-misure-urgenti-attuazione-pnrr-conseguenze-universita-ricerca-afam.flc" TargetMode="External"/><Relationship Id="rId10" Type="http://schemas.openxmlformats.org/officeDocument/2006/relationships/hyperlink" Target="http://www.flcgil.it/attualita/decreto-legge-ulteriori-misure-urgenti-attuazione-pnrr-conseguenze-universita-ricerca-afam.flc" TargetMode="External"/><Relationship Id="rId19" Type="http://schemas.openxmlformats.org/officeDocument/2006/relationships/hyperlink" Target="http://www.flcgil.it/attualita/decreto-legge-ulteriori-misure-urgenti-attuazione-pnrr-conseguenze-universita-ricerca-afam.flc" TargetMode="External"/><Relationship Id="rId4" Type="http://schemas.openxmlformats.org/officeDocument/2006/relationships/webSettings" Target="webSettings.xml"/><Relationship Id="rId9" Type="http://schemas.openxmlformats.org/officeDocument/2006/relationships/hyperlink" Target="http://www.flcgil.it/attualita/decreto-legge-ulteriori-misure-urgenti-attuazione-pnrr-conseguenze-universita-ricerca-afam.flc" TargetMode="External"/><Relationship Id="rId14" Type="http://schemas.openxmlformats.org/officeDocument/2006/relationships/hyperlink" Target="http://www.flcgil.it/attualita/decreto-legge-ulteriori-misure-urgenti-attuazione-pnrr-conseguenze-universita-ricerca-afam.flc"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2834</Words>
  <Characters>16156</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2</cp:revision>
  <dcterms:created xsi:type="dcterms:W3CDTF">2022-05-04T12:52:00Z</dcterms:created>
  <dcterms:modified xsi:type="dcterms:W3CDTF">2022-05-04T12:52:00Z</dcterms:modified>
</cp:coreProperties>
</file>