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887" w:rsidRPr="00B01887" w:rsidRDefault="00B01887" w:rsidP="00B01887">
      <w:pPr>
        <w:shd w:val="clear" w:color="auto" w:fill="FFFFFF"/>
        <w:spacing w:after="0" w:line="525" w:lineRule="atLeast"/>
        <w:outlineLvl w:val="0"/>
        <w:rPr>
          <w:rFonts w:ascii="Tahoma" w:eastAsia="Times New Roman" w:hAnsi="Tahoma" w:cs="Tahoma"/>
          <w:color w:val="DC3B33"/>
          <w:kern w:val="36"/>
          <w:sz w:val="45"/>
          <w:szCs w:val="45"/>
          <w:lang w:eastAsia="it-IT"/>
        </w:rPr>
      </w:pPr>
      <w:r w:rsidRPr="00B01887">
        <w:rPr>
          <w:rFonts w:ascii="Tahoma" w:eastAsia="Times New Roman" w:hAnsi="Tahoma" w:cs="Tahoma"/>
          <w:color w:val="DC3B33"/>
          <w:kern w:val="36"/>
          <w:sz w:val="45"/>
          <w:szCs w:val="45"/>
          <w:lang w:eastAsia="it-IT"/>
        </w:rPr>
        <w:t>Convertito in legge il decreto che ha prorogato lo stato di emergenza: sintesi dei contenuti e ricadute sui settori della conoscenza</w:t>
      </w:r>
    </w:p>
    <w:p w:rsidR="00B01887" w:rsidRPr="00B01887" w:rsidRDefault="00B01887" w:rsidP="00B01887">
      <w:pPr>
        <w:shd w:val="clear" w:color="auto" w:fill="FFFFFF"/>
        <w:spacing w:before="75" w:after="75" w:line="240" w:lineRule="auto"/>
        <w:outlineLvl w:val="3"/>
        <w:rPr>
          <w:rFonts w:ascii="Arial" w:eastAsia="Times New Roman" w:hAnsi="Arial" w:cs="Arial"/>
          <w:color w:val="535353"/>
          <w:sz w:val="27"/>
          <w:szCs w:val="27"/>
          <w:lang w:eastAsia="it-IT"/>
        </w:rPr>
      </w:pPr>
      <w:r w:rsidRPr="00B01887">
        <w:rPr>
          <w:rFonts w:ascii="Arial" w:eastAsia="Times New Roman" w:hAnsi="Arial" w:cs="Arial"/>
          <w:color w:val="535353"/>
          <w:sz w:val="27"/>
          <w:szCs w:val="27"/>
          <w:lang w:eastAsia="it-IT"/>
        </w:rPr>
        <w:t xml:space="preserve">Molte modifiche introdotte dal parlamento su green pass base e rafforzato, </w:t>
      </w:r>
      <w:proofErr w:type="spellStart"/>
      <w:r w:rsidRPr="00B01887">
        <w:rPr>
          <w:rFonts w:ascii="Arial" w:eastAsia="Times New Roman" w:hAnsi="Arial" w:cs="Arial"/>
          <w:color w:val="535353"/>
          <w:sz w:val="27"/>
          <w:szCs w:val="27"/>
          <w:lang w:eastAsia="it-IT"/>
        </w:rPr>
        <w:t>autosorveglianza</w:t>
      </w:r>
      <w:proofErr w:type="spellEnd"/>
      <w:r w:rsidRPr="00B01887">
        <w:rPr>
          <w:rFonts w:ascii="Arial" w:eastAsia="Times New Roman" w:hAnsi="Arial" w:cs="Arial"/>
          <w:color w:val="535353"/>
          <w:sz w:val="27"/>
          <w:szCs w:val="27"/>
          <w:lang w:eastAsia="it-IT"/>
        </w:rPr>
        <w:t xml:space="preserve"> e quarantena fiduciaria, lavoratori fragili e congedi parentali.</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0" w:name="_GoBack"/>
      <w:bookmarkEnd w:id="0"/>
      <w:r w:rsidRPr="00B01887">
        <w:rPr>
          <w:rFonts w:ascii="Arial" w:eastAsia="Times New Roman" w:hAnsi="Arial" w:cs="Arial"/>
          <w:color w:val="000000"/>
          <w:sz w:val="21"/>
          <w:szCs w:val="21"/>
          <w:lang w:eastAsia="it-IT"/>
        </w:rPr>
        <w:t>È entrata in vigore il 19 febbraio 2022 la </w:t>
      </w:r>
      <w:hyperlink r:id="rId5" w:tgtFrame="_blank" w:history="1">
        <w:r w:rsidRPr="00B01887">
          <w:rPr>
            <w:rFonts w:ascii="Arial" w:eastAsia="Times New Roman" w:hAnsi="Arial" w:cs="Arial"/>
            <w:color w:val="005EB3"/>
            <w:sz w:val="21"/>
            <w:szCs w:val="21"/>
            <w:u w:val="single"/>
            <w:lang w:eastAsia="it-IT"/>
          </w:rPr>
          <w:t>legge 11/22</w:t>
        </w:r>
      </w:hyperlink>
      <w:r w:rsidRPr="00B01887">
        <w:rPr>
          <w:rFonts w:ascii="Arial" w:eastAsia="Times New Roman" w:hAnsi="Arial" w:cs="Arial"/>
          <w:color w:val="000000"/>
          <w:sz w:val="21"/>
          <w:szCs w:val="21"/>
          <w:lang w:eastAsia="it-IT"/>
        </w:rPr>
        <w:t> di conversione del decreto legge 24 dicembre 2021 n. 221 “</w:t>
      </w:r>
      <w:r w:rsidRPr="00B01887">
        <w:rPr>
          <w:rFonts w:ascii="Arial" w:eastAsia="Times New Roman" w:hAnsi="Arial" w:cs="Arial"/>
          <w:i/>
          <w:iCs/>
          <w:color w:val="000000"/>
          <w:sz w:val="21"/>
          <w:szCs w:val="21"/>
          <w:lang w:eastAsia="it-IT"/>
        </w:rPr>
        <w:t>Proroga dello stato di emergenza nazionale e ulteriori misure per il contenimento della diffusione dell'epidemia da COVID-19</w:t>
      </w:r>
      <w:r w:rsidRPr="00B01887">
        <w:rPr>
          <w:rFonts w:ascii="Arial" w:eastAsia="Times New Roman" w:hAnsi="Arial" w:cs="Arial"/>
          <w:color w:val="000000"/>
          <w:sz w:val="21"/>
          <w:szCs w:val="21"/>
          <w:lang w:eastAsia="it-IT"/>
        </w:rPr>
        <w:t>.”</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hyperlink r:id="rId6" w:tgtFrame="_blank" w:history="1">
        <w:r w:rsidRPr="00B01887">
          <w:rPr>
            <w:rFonts w:ascii="Arial" w:eastAsia="Times New Roman" w:hAnsi="Arial" w:cs="Arial"/>
            <w:color w:val="005EB3"/>
            <w:sz w:val="21"/>
            <w:szCs w:val="21"/>
            <w:u w:val="single"/>
            <w:lang w:eastAsia="it-IT"/>
          </w:rPr>
          <w:t>Qui</w:t>
        </w:r>
      </w:hyperlink>
      <w:r w:rsidRPr="00B01887">
        <w:rPr>
          <w:rFonts w:ascii="Arial" w:eastAsia="Times New Roman" w:hAnsi="Arial" w:cs="Arial"/>
          <w:color w:val="000000"/>
          <w:sz w:val="21"/>
          <w:szCs w:val="21"/>
          <w:lang w:eastAsia="it-IT"/>
        </w:rPr>
        <w:t> il </w:t>
      </w:r>
      <w:r w:rsidRPr="00B01887">
        <w:rPr>
          <w:rFonts w:ascii="Arial" w:eastAsia="Times New Roman" w:hAnsi="Arial" w:cs="Arial"/>
          <w:b/>
          <w:bCs/>
          <w:color w:val="000000"/>
          <w:sz w:val="21"/>
          <w:szCs w:val="21"/>
          <w:lang w:eastAsia="it-IT"/>
        </w:rPr>
        <w:t>testo coordinato</w:t>
      </w:r>
      <w:r w:rsidRPr="00B01887">
        <w:rPr>
          <w:rFonts w:ascii="Arial" w:eastAsia="Times New Roman" w:hAnsi="Arial" w:cs="Arial"/>
          <w:color w:val="000000"/>
          <w:sz w:val="21"/>
          <w:szCs w:val="21"/>
          <w:lang w:eastAsia="it-IT"/>
        </w:rPr>
        <w:t> del provvedimento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Numerose le modifiche apportate</w:t>
      </w:r>
      <w:r w:rsidRPr="00B01887">
        <w:rPr>
          <w:rFonts w:ascii="Arial" w:eastAsia="Times New Roman" w:hAnsi="Arial" w:cs="Arial"/>
          <w:color w:val="000000"/>
          <w:sz w:val="21"/>
          <w:szCs w:val="21"/>
          <w:lang w:eastAsia="it-IT"/>
        </w:rPr>
        <w:t> rispetto al testo originario che assorbe i contenuti del decreto legge 229/21 che contestualmente viene abrogato.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Abrogato anche il Decreto Legge 2/22 </w:t>
      </w:r>
      <w:r w:rsidRPr="00B01887">
        <w:rPr>
          <w:rFonts w:ascii="Arial" w:eastAsia="Times New Roman" w:hAnsi="Arial" w:cs="Arial"/>
          <w:i/>
          <w:iCs/>
          <w:color w:val="000000"/>
          <w:sz w:val="21"/>
          <w:szCs w:val="21"/>
          <w:lang w:eastAsia="it-IT"/>
        </w:rPr>
        <w:t>(Disposizioni urgenti per consentire l'esercizio del diritto di voto in occasione della prossima elezione del Presidente della Repubblica).</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Forniamo una </w:t>
      </w:r>
      <w:r w:rsidRPr="00B01887">
        <w:rPr>
          <w:rFonts w:ascii="Arial" w:eastAsia="Times New Roman" w:hAnsi="Arial" w:cs="Arial"/>
          <w:b/>
          <w:bCs/>
          <w:color w:val="000000"/>
          <w:sz w:val="21"/>
          <w:szCs w:val="21"/>
          <w:lang w:eastAsia="it-IT"/>
        </w:rPr>
        <w:t>sintesi dei contenuti</w:t>
      </w:r>
      <w:r w:rsidRPr="00B01887">
        <w:rPr>
          <w:rFonts w:ascii="Arial" w:eastAsia="Times New Roman" w:hAnsi="Arial" w:cs="Arial"/>
          <w:color w:val="000000"/>
          <w:sz w:val="21"/>
          <w:szCs w:val="21"/>
          <w:lang w:eastAsia="it-IT"/>
        </w:rPr>
        <w:t> del provvedimento con particolare riferimento alle disposizioni che impattano direttamente o indirettamente sui </w:t>
      </w:r>
      <w:r w:rsidRPr="00B01887">
        <w:rPr>
          <w:rFonts w:ascii="Arial" w:eastAsia="Times New Roman" w:hAnsi="Arial" w:cs="Arial"/>
          <w:b/>
          <w:bCs/>
          <w:color w:val="000000"/>
          <w:sz w:val="21"/>
          <w:szCs w:val="21"/>
          <w:lang w:eastAsia="it-IT"/>
        </w:rPr>
        <w:t>settori della conoscenza</w:t>
      </w:r>
      <w:r w:rsidRPr="00B01887">
        <w:rPr>
          <w:rFonts w:ascii="Arial" w:eastAsia="Times New Roman" w:hAnsi="Arial" w:cs="Arial"/>
          <w:color w:val="000000"/>
          <w:sz w:val="21"/>
          <w:szCs w:val="21"/>
          <w:lang w:eastAsia="it-IT"/>
        </w:rPr>
        <w:t>, alla luce di tali modifiche.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hyperlink r:id="rId7" w:anchor="disposizioni" w:history="1">
        <w:r w:rsidRPr="00B01887">
          <w:rPr>
            <w:rFonts w:ascii="Arial" w:eastAsia="Times New Roman" w:hAnsi="Arial" w:cs="Arial"/>
            <w:b/>
            <w:bCs/>
            <w:i/>
            <w:iCs/>
            <w:color w:val="005EB3"/>
            <w:sz w:val="21"/>
            <w:szCs w:val="21"/>
            <w:lang w:eastAsia="it-IT"/>
          </w:rPr>
          <w:t>Disposizioni di carattere generale</w:t>
        </w:r>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8" w:anchor="proroga" w:history="1">
        <w:r w:rsidRPr="00B01887">
          <w:rPr>
            <w:rFonts w:ascii="Arial" w:eastAsia="Times New Roman" w:hAnsi="Arial" w:cs="Arial"/>
            <w:i/>
            <w:iCs/>
            <w:color w:val="005EB3"/>
            <w:sz w:val="21"/>
            <w:szCs w:val="21"/>
            <w:lang w:eastAsia="it-IT"/>
          </w:rPr>
          <w:t>Proroga dello Stato di emergenza</w:t>
        </w:r>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9" w:anchor="autosorveglianza" w:history="1">
        <w:proofErr w:type="spellStart"/>
        <w:r w:rsidRPr="00B01887">
          <w:rPr>
            <w:rFonts w:ascii="Arial" w:eastAsia="Times New Roman" w:hAnsi="Arial" w:cs="Arial"/>
            <w:i/>
            <w:iCs/>
            <w:color w:val="005EB3"/>
            <w:sz w:val="21"/>
            <w:szCs w:val="21"/>
            <w:lang w:eastAsia="it-IT"/>
          </w:rPr>
          <w:t>Autosorveglianza</w:t>
        </w:r>
        <w:proofErr w:type="spellEnd"/>
        <w:r w:rsidRPr="00B01887">
          <w:rPr>
            <w:rFonts w:ascii="Arial" w:eastAsia="Times New Roman" w:hAnsi="Arial" w:cs="Arial"/>
            <w:i/>
            <w:iCs/>
            <w:color w:val="005EB3"/>
            <w:sz w:val="21"/>
            <w:szCs w:val="21"/>
            <w:lang w:eastAsia="it-IT"/>
          </w:rPr>
          <w:t xml:space="preserve"> e quarantena</w:t>
        </w:r>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10" w:anchor="durata" w:history="1">
        <w:r w:rsidRPr="00B01887">
          <w:rPr>
            <w:rFonts w:ascii="Arial" w:eastAsia="Times New Roman" w:hAnsi="Arial" w:cs="Arial"/>
            <w:i/>
            <w:iCs/>
            <w:color w:val="005EB3"/>
            <w:sz w:val="21"/>
            <w:szCs w:val="21"/>
            <w:lang w:eastAsia="it-IT"/>
          </w:rPr>
          <w:t>Durata del Green Pass</w:t>
        </w:r>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11" w:anchor="green%20pass" w:history="1">
        <w:r w:rsidRPr="00B01887">
          <w:rPr>
            <w:rFonts w:ascii="Arial" w:eastAsia="Times New Roman" w:hAnsi="Arial" w:cs="Arial"/>
            <w:i/>
            <w:iCs/>
            <w:color w:val="005EB3"/>
            <w:sz w:val="21"/>
            <w:szCs w:val="21"/>
            <w:lang w:eastAsia="it-IT"/>
          </w:rPr>
          <w:t>Green pass base e green pass rafforzato</w:t>
        </w:r>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12" w:anchor="impiego" w:history="1">
        <w:r w:rsidRPr="00B01887">
          <w:rPr>
            <w:rFonts w:ascii="Arial" w:eastAsia="Times New Roman" w:hAnsi="Arial" w:cs="Arial"/>
            <w:i/>
            <w:iCs/>
            <w:color w:val="005EB3"/>
            <w:sz w:val="21"/>
            <w:szCs w:val="21"/>
            <w:lang w:eastAsia="it-IT"/>
          </w:rPr>
          <w:t>Impiego del Green Pass</w:t>
        </w:r>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13" w:anchor="dispositivi" w:history="1">
        <w:r w:rsidRPr="00B01887">
          <w:rPr>
            <w:rFonts w:ascii="Arial" w:eastAsia="Times New Roman" w:hAnsi="Arial" w:cs="Arial"/>
            <w:i/>
            <w:iCs/>
            <w:color w:val="005EB3"/>
            <w:sz w:val="21"/>
            <w:szCs w:val="21"/>
            <w:lang w:eastAsia="it-IT"/>
          </w:rPr>
          <w:t>Dispositivi di protezione delle vie respiratorie</w:t>
        </w:r>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14" w:anchor="potenziamento" w:history="1">
        <w:r w:rsidRPr="00B01887">
          <w:rPr>
            <w:rFonts w:ascii="Arial" w:eastAsia="Times New Roman" w:hAnsi="Arial" w:cs="Arial"/>
            <w:i/>
            <w:iCs/>
            <w:color w:val="005EB3"/>
            <w:sz w:val="21"/>
            <w:szCs w:val="21"/>
            <w:lang w:eastAsia="it-IT"/>
          </w:rPr>
          <w:t>Potenziamento delle infrastrutture strategiche per le emergenze sanitari</w:t>
        </w:r>
      </w:hyperlink>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hyperlink r:id="rId15" w:anchor="disposizioni" w:history="1">
        <w:r w:rsidRPr="00B01887">
          <w:rPr>
            <w:rFonts w:ascii="Arial" w:eastAsia="Times New Roman" w:hAnsi="Arial" w:cs="Arial"/>
            <w:b/>
            <w:bCs/>
            <w:i/>
            <w:iCs/>
            <w:color w:val="005EB3"/>
            <w:sz w:val="21"/>
            <w:szCs w:val="21"/>
            <w:lang w:eastAsia="it-IT"/>
          </w:rPr>
          <w:t>Disposizioni sui settori della conoscenza</w:t>
        </w:r>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16" w:anchor="scuola" w:history="1">
        <w:r w:rsidRPr="00B01887">
          <w:rPr>
            <w:rFonts w:ascii="Arial" w:eastAsia="Times New Roman" w:hAnsi="Arial" w:cs="Arial"/>
            <w:i/>
            <w:iCs/>
            <w:color w:val="005EB3"/>
            <w:sz w:val="21"/>
            <w:szCs w:val="21"/>
            <w:lang w:eastAsia="it-IT"/>
          </w:rPr>
          <w:t>Scuola</w:t>
        </w:r>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17" w:anchor="universit%C3%A0%20e%20afam" w:history="1">
        <w:r w:rsidRPr="00B01887">
          <w:rPr>
            <w:rFonts w:ascii="Arial" w:eastAsia="Times New Roman" w:hAnsi="Arial" w:cs="Arial"/>
            <w:i/>
            <w:iCs/>
            <w:color w:val="005EB3"/>
            <w:sz w:val="21"/>
            <w:szCs w:val="21"/>
            <w:lang w:eastAsia="it-IT"/>
          </w:rPr>
          <w:t xml:space="preserve">Università e </w:t>
        </w:r>
        <w:proofErr w:type="spellStart"/>
        <w:r w:rsidRPr="00B01887">
          <w:rPr>
            <w:rFonts w:ascii="Arial" w:eastAsia="Times New Roman" w:hAnsi="Arial" w:cs="Arial"/>
            <w:i/>
            <w:iCs/>
            <w:color w:val="005EB3"/>
            <w:sz w:val="21"/>
            <w:szCs w:val="21"/>
            <w:lang w:eastAsia="it-IT"/>
          </w:rPr>
          <w:t>afam</w:t>
        </w:r>
        <w:proofErr w:type="spellEnd"/>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18" w:anchor="prestazione" w:history="1">
        <w:r w:rsidRPr="00B01887">
          <w:rPr>
            <w:rFonts w:ascii="Arial" w:eastAsia="Times New Roman" w:hAnsi="Arial" w:cs="Arial"/>
            <w:i/>
            <w:iCs/>
            <w:color w:val="005EB3"/>
            <w:sz w:val="21"/>
            <w:szCs w:val="21"/>
            <w:lang w:eastAsia="it-IT"/>
          </w:rPr>
          <w:t>Prestazione lavorativa dei soggetti fragili</w:t>
        </w:r>
      </w:hyperlink>
    </w:p>
    <w:p w:rsidR="00B01887" w:rsidRPr="00B01887" w:rsidRDefault="00B01887" w:rsidP="00B01887">
      <w:pPr>
        <w:shd w:val="clear" w:color="auto" w:fill="FFFFFF"/>
        <w:spacing w:after="225" w:line="240" w:lineRule="auto"/>
        <w:ind w:left="709"/>
        <w:jc w:val="both"/>
        <w:rPr>
          <w:rFonts w:ascii="Arial" w:eastAsia="Times New Roman" w:hAnsi="Arial" w:cs="Arial"/>
          <w:color w:val="000000"/>
          <w:sz w:val="21"/>
          <w:szCs w:val="21"/>
          <w:lang w:eastAsia="it-IT"/>
        </w:rPr>
      </w:pPr>
      <w:hyperlink r:id="rId19" w:anchor="congedi" w:history="1">
        <w:r w:rsidRPr="00B01887">
          <w:rPr>
            <w:rFonts w:ascii="Arial" w:eastAsia="Times New Roman" w:hAnsi="Arial" w:cs="Arial"/>
            <w:i/>
            <w:iCs/>
            <w:color w:val="005EB3"/>
            <w:sz w:val="21"/>
            <w:szCs w:val="21"/>
            <w:lang w:eastAsia="it-IT"/>
          </w:rPr>
          <w:t>Congedi parentali</w:t>
        </w:r>
      </w:hyperlink>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hyperlink r:id="rId20" w:anchor="propoghe" w:history="1">
        <w:r w:rsidRPr="00B01887">
          <w:rPr>
            <w:rFonts w:ascii="Arial" w:eastAsia="Times New Roman" w:hAnsi="Arial" w:cs="Arial"/>
            <w:b/>
            <w:bCs/>
            <w:i/>
            <w:iCs/>
            <w:color w:val="005EB3"/>
            <w:sz w:val="21"/>
            <w:szCs w:val="21"/>
            <w:lang w:eastAsia="it-IT"/>
          </w:rPr>
          <w:t>Proroghe di disposizioni normative</w:t>
        </w:r>
      </w:hyperlink>
    </w:p>
    <w:p w:rsidR="00B01887" w:rsidRPr="00B01887" w:rsidRDefault="00B01887" w:rsidP="00B01887">
      <w:pPr>
        <w:shd w:val="clear" w:color="auto" w:fill="FFFFFF"/>
        <w:spacing w:after="225" w:line="240" w:lineRule="auto"/>
        <w:jc w:val="center"/>
        <w:rPr>
          <w:rFonts w:ascii="Arial" w:eastAsia="Times New Roman" w:hAnsi="Arial" w:cs="Arial"/>
          <w:color w:val="000000"/>
          <w:sz w:val="21"/>
          <w:szCs w:val="21"/>
          <w:lang w:eastAsia="it-IT"/>
        </w:rPr>
      </w:pPr>
      <w:bookmarkStart w:id="1" w:name="disposizioni"/>
      <w:r w:rsidRPr="00B01887">
        <w:rPr>
          <w:rFonts w:ascii="Arial" w:eastAsia="Times New Roman" w:hAnsi="Arial" w:cs="Arial"/>
          <w:b/>
          <w:bCs/>
          <w:color w:val="000000"/>
          <w:sz w:val="21"/>
          <w:szCs w:val="21"/>
          <w:lang w:eastAsia="it-IT"/>
        </w:rPr>
        <w:t>Disposizioni di carattere generale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2" w:name="proroga"/>
      <w:bookmarkEnd w:id="2"/>
      <w:r w:rsidRPr="00B01887">
        <w:rPr>
          <w:rFonts w:ascii="Arial" w:eastAsia="Times New Roman" w:hAnsi="Arial" w:cs="Arial"/>
          <w:b/>
          <w:bCs/>
          <w:i/>
          <w:iCs/>
          <w:color w:val="000000"/>
          <w:sz w:val="21"/>
          <w:szCs w:val="21"/>
          <w:lang w:eastAsia="it-IT"/>
        </w:rPr>
        <w:t>Proroga dello Stato di emergenza</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Lo stato di emergenza dichiarato con deliberazione del Consiglio dei ministri del 31 gennaio 2020 è </w:t>
      </w:r>
      <w:r w:rsidRPr="00B01887">
        <w:rPr>
          <w:rFonts w:ascii="Arial" w:eastAsia="Times New Roman" w:hAnsi="Arial" w:cs="Arial"/>
          <w:b/>
          <w:bCs/>
          <w:color w:val="000000"/>
          <w:sz w:val="21"/>
          <w:szCs w:val="21"/>
          <w:lang w:eastAsia="it-IT"/>
        </w:rPr>
        <w:t>prorogato fino al 31 marzo 2022.</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lastRenderedPageBreak/>
        <w:t>Conseguentemente il </w:t>
      </w:r>
      <w:r w:rsidRPr="00B01887">
        <w:rPr>
          <w:rFonts w:ascii="Arial" w:eastAsia="Times New Roman" w:hAnsi="Arial" w:cs="Arial"/>
          <w:b/>
          <w:bCs/>
          <w:color w:val="000000"/>
          <w:sz w:val="21"/>
          <w:szCs w:val="21"/>
          <w:lang w:eastAsia="it-IT"/>
        </w:rPr>
        <w:t>Capo della Protezione Civile</w:t>
      </w:r>
      <w:r w:rsidRPr="00B01887">
        <w:rPr>
          <w:rFonts w:ascii="Arial" w:eastAsia="Times New Roman" w:hAnsi="Arial" w:cs="Arial"/>
          <w:color w:val="000000"/>
          <w:sz w:val="21"/>
          <w:szCs w:val="21"/>
          <w:lang w:eastAsia="it-IT"/>
        </w:rPr>
        <w:t> e il </w:t>
      </w:r>
      <w:r w:rsidRPr="00B01887">
        <w:rPr>
          <w:rFonts w:ascii="Arial" w:eastAsia="Times New Roman" w:hAnsi="Arial" w:cs="Arial"/>
          <w:b/>
          <w:bCs/>
          <w:color w:val="000000"/>
          <w:sz w:val="21"/>
          <w:szCs w:val="21"/>
          <w:lang w:eastAsia="it-IT"/>
        </w:rPr>
        <w:t>Commissario straordinario per l'emergenza</w:t>
      </w:r>
      <w:r w:rsidRPr="00B01887">
        <w:rPr>
          <w:rFonts w:ascii="Arial" w:eastAsia="Times New Roman" w:hAnsi="Arial" w:cs="Arial"/>
          <w:color w:val="000000"/>
          <w:sz w:val="21"/>
          <w:szCs w:val="21"/>
          <w:lang w:eastAsia="it-IT"/>
        </w:rPr>
        <w:t> epidemiologica Covid-19 possono continuare ad </w:t>
      </w:r>
      <w:r w:rsidRPr="00B01887">
        <w:rPr>
          <w:rFonts w:ascii="Arial" w:eastAsia="Times New Roman" w:hAnsi="Arial" w:cs="Arial"/>
          <w:b/>
          <w:bCs/>
          <w:color w:val="000000"/>
          <w:sz w:val="21"/>
          <w:szCs w:val="21"/>
          <w:lang w:eastAsia="it-IT"/>
        </w:rPr>
        <w:t>adottare ordinanze </w:t>
      </w:r>
      <w:r w:rsidRPr="00B01887">
        <w:rPr>
          <w:rFonts w:ascii="Arial" w:eastAsia="Times New Roman" w:hAnsi="Arial" w:cs="Arial"/>
          <w:color w:val="000000"/>
          <w:sz w:val="21"/>
          <w:szCs w:val="21"/>
          <w:lang w:eastAsia="it-IT"/>
        </w:rPr>
        <w:t>per la prosecuzione in via ordinaria delle attività necessarie al contrasto e al contenimento del fenomeno epidemiologico da COVID-19.</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3" w:name="autosorveglianza"/>
      <w:bookmarkEnd w:id="3"/>
      <w:proofErr w:type="spellStart"/>
      <w:r w:rsidRPr="00B01887">
        <w:rPr>
          <w:rFonts w:ascii="Arial" w:eastAsia="Times New Roman" w:hAnsi="Arial" w:cs="Arial"/>
          <w:b/>
          <w:bCs/>
          <w:i/>
          <w:iCs/>
          <w:color w:val="000000"/>
          <w:sz w:val="21"/>
          <w:szCs w:val="21"/>
          <w:lang w:eastAsia="it-IT"/>
        </w:rPr>
        <w:t>Autosorveglianza</w:t>
      </w:r>
      <w:proofErr w:type="spellEnd"/>
      <w:r w:rsidRPr="00B01887">
        <w:rPr>
          <w:rFonts w:ascii="Arial" w:eastAsia="Times New Roman" w:hAnsi="Arial" w:cs="Arial"/>
          <w:b/>
          <w:bCs/>
          <w:i/>
          <w:iCs/>
          <w:color w:val="000000"/>
          <w:sz w:val="21"/>
          <w:szCs w:val="21"/>
          <w:lang w:eastAsia="it-IT"/>
        </w:rPr>
        <w:t xml:space="preserve"> e quarantena</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Coloro che hanno avuto </w:t>
      </w:r>
      <w:r w:rsidRPr="00B01887">
        <w:rPr>
          <w:rFonts w:ascii="Arial" w:eastAsia="Times New Roman" w:hAnsi="Arial" w:cs="Arial"/>
          <w:b/>
          <w:bCs/>
          <w:color w:val="000000"/>
          <w:sz w:val="21"/>
          <w:szCs w:val="21"/>
          <w:lang w:eastAsia="it-IT"/>
        </w:rPr>
        <w:t>contatti stretti</w:t>
      </w:r>
      <w:r w:rsidRPr="00B01887">
        <w:rPr>
          <w:rFonts w:ascii="Arial" w:eastAsia="Times New Roman" w:hAnsi="Arial" w:cs="Arial"/>
          <w:color w:val="000000"/>
          <w:sz w:val="21"/>
          <w:szCs w:val="21"/>
          <w:lang w:eastAsia="it-IT"/>
        </w:rPr>
        <w:t> con soggetti confermati positivi al COVID-19 nei centoventi giorni dal completamento del ciclo vaccinale primario o dalla guarigione o successivamente alla somministrazione della dose di richiamo, si applica il </w:t>
      </w:r>
      <w:r w:rsidRPr="00B01887">
        <w:rPr>
          <w:rFonts w:ascii="Arial" w:eastAsia="Times New Roman" w:hAnsi="Arial" w:cs="Arial"/>
          <w:b/>
          <w:bCs/>
          <w:color w:val="000000"/>
          <w:sz w:val="21"/>
          <w:szCs w:val="21"/>
          <w:lang w:eastAsia="it-IT"/>
        </w:rPr>
        <w:t xml:space="preserve">regime di </w:t>
      </w:r>
      <w:proofErr w:type="spellStart"/>
      <w:r w:rsidRPr="00B01887">
        <w:rPr>
          <w:rFonts w:ascii="Arial" w:eastAsia="Times New Roman" w:hAnsi="Arial" w:cs="Arial"/>
          <w:b/>
          <w:bCs/>
          <w:color w:val="000000"/>
          <w:sz w:val="21"/>
          <w:szCs w:val="21"/>
          <w:lang w:eastAsia="it-IT"/>
        </w:rPr>
        <w:t>autosorveglianza</w:t>
      </w:r>
      <w:proofErr w:type="spellEnd"/>
      <w:r w:rsidRPr="00B01887">
        <w:rPr>
          <w:rFonts w:ascii="Arial" w:eastAsia="Times New Roman" w:hAnsi="Arial" w:cs="Arial"/>
          <w:b/>
          <w:bCs/>
          <w:color w:val="000000"/>
          <w:sz w:val="21"/>
          <w:szCs w:val="21"/>
          <w:lang w:eastAsia="it-IT"/>
        </w:rPr>
        <w:t xml:space="preserve"> e non di quarantena precauzionale</w:t>
      </w:r>
      <w:r w:rsidRPr="00B01887">
        <w:rPr>
          <w:rFonts w:ascii="Arial" w:eastAsia="Times New Roman" w:hAnsi="Arial" w:cs="Arial"/>
          <w:color w:val="000000"/>
          <w:sz w:val="21"/>
          <w:szCs w:val="21"/>
          <w:lang w:eastAsia="it-IT"/>
        </w:rPr>
        <w:t>. L'</w:t>
      </w:r>
      <w:proofErr w:type="spellStart"/>
      <w:r w:rsidRPr="00B01887">
        <w:rPr>
          <w:rFonts w:ascii="Arial" w:eastAsia="Times New Roman" w:hAnsi="Arial" w:cs="Arial"/>
          <w:color w:val="000000"/>
          <w:sz w:val="21"/>
          <w:szCs w:val="21"/>
          <w:lang w:eastAsia="it-IT"/>
        </w:rPr>
        <w:t>autosorveglianza</w:t>
      </w:r>
      <w:proofErr w:type="spellEnd"/>
      <w:r w:rsidRPr="00B01887">
        <w:rPr>
          <w:rFonts w:ascii="Arial" w:eastAsia="Times New Roman" w:hAnsi="Arial" w:cs="Arial"/>
          <w:color w:val="000000"/>
          <w:sz w:val="21"/>
          <w:szCs w:val="21"/>
          <w:lang w:eastAsia="it-IT"/>
        </w:rPr>
        <w:t xml:space="preserve"> si applica anche in tutti i casi di guarigione successiva al completamento del ciclo primario oppure successiva alla dose di richiamo.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L'</w:t>
      </w:r>
      <w:proofErr w:type="spellStart"/>
      <w:r w:rsidRPr="00B01887">
        <w:rPr>
          <w:rFonts w:ascii="Arial" w:eastAsia="Times New Roman" w:hAnsi="Arial" w:cs="Arial"/>
          <w:color w:val="000000"/>
          <w:sz w:val="21"/>
          <w:szCs w:val="21"/>
          <w:lang w:eastAsia="it-IT"/>
        </w:rPr>
        <w:t>autosorveglianza</w:t>
      </w:r>
      <w:proofErr w:type="spellEnd"/>
      <w:r w:rsidRPr="00B01887">
        <w:rPr>
          <w:rFonts w:ascii="Arial" w:eastAsia="Times New Roman" w:hAnsi="Arial" w:cs="Arial"/>
          <w:color w:val="000000"/>
          <w:sz w:val="21"/>
          <w:szCs w:val="21"/>
          <w:lang w:eastAsia="it-IT"/>
        </w:rPr>
        <w:t> </w:t>
      </w:r>
      <w:r w:rsidRPr="00B01887">
        <w:rPr>
          <w:rFonts w:ascii="Arial" w:eastAsia="Times New Roman" w:hAnsi="Arial" w:cs="Arial"/>
          <w:b/>
          <w:bCs/>
          <w:color w:val="000000"/>
          <w:sz w:val="21"/>
          <w:szCs w:val="21"/>
          <w:lang w:eastAsia="it-IT"/>
        </w:rPr>
        <w:t>consiste nell'obbligo</w:t>
      </w:r>
    </w:p>
    <w:p w:rsidR="00B01887" w:rsidRPr="00B01887" w:rsidRDefault="00B01887" w:rsidP="00B01887">
      <w:pPr>
        <w:numPr>
          <w:ilvl w:val="0"/>
          <w:numId w:val="1"/>
        </w:numPr>
        <w:shd w:val="clear" w:color="auto" w:fill="FFFFFF"/>
        <w:spacing w:after="150" w:line="240" w:lineRule="auto"/>
        <w:ind w:left="79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di </w:t>
      </w:r>
      <w:r w:rsidRPr="00B01887">
        <w:rPr>
          <w:rFonts w:ascii="Arial" w:eastAsia="Times New Roman" w:hAnsi="Arial" w:cs="Arial"/>
          <w:b/>
          <w:bCs/>
          <w:color w:val="000000"/>
          <w:sz w:val="23"/>
          <w:szCs w:val="23"/>
          <w:lang w:eastAsia="it-IT"/>
        </w:rPr>
        <w:t>indossare dispositivi di protezione delle vie respiratorie di tipo FFP2</w:t>
      </w:r>
      <w:r w:rsidRPr="00B01887">
        <w:rPr>
          <w:rFonts w:ascii="Arial" w:eastAsia="Times New Roman" w:hAnsi="Arial" w:cs="Arial"/>
          <w:color w:val="000000"/>
          <w:sz w:val="23"/>
          <w:szCs w:val="23"/>
          <w:lang w:eastAsia="it-IT"/>
        </w:rPr>
        <w:t> fino al decimo giorno successivo alla data dell'ultimo contatto stretto con soggetti confermati positivi al COVID-19</w:t>
      </w:r>
    </w:p>
    <w:p w:rsidR="00B01887" w:rsidRPr="00B01887" w:rsidRDefault="00B01887" w:rsidP="00B01887">
      <w:pPr>
        <w:numPr>
          <w:ilvl w:val="0"/>
          <w:numId w:val="1"/>
        </w:numPr>
        <w:shd w:val="clear" w:color="auto" w:fill="FFFFFF"/>
        <w:spacing w:after="150" w:line="240" w:lineRule="auto"/>
        <w:ind w:left="79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di </w:t>
      </w:r>
      <w:r w:rsidRPr="00B01887">
        <w:rPr>
          <w:rFonts w:ascii="Arial" w:eastAsia="Times New Roman" w:hAnsi="Arial" w:cs="Arial"/>
          <w:b/>
          <w:bCs/>
          <w:color w:val="000000"/>
          <w:sz w:val="23"/>
          <w:szCs w:val="23"/>
          <w:lang w:eastAsia="it-IT"/>
        </w:rPr>
        <w:t>effettuare un test antigenico rapido o molecolare</w:t>
      </w:r>
      <w:r w:rsidRPr="00B01887">
        <w:rPr>
          <w:rFonts w:ascii="Arial" w:eastAsia="Times New Roman" w:hAnsi="Arial" w:cs="Arial"/>
          <w:color w:val="000000"/>
          <w:sz w:val="23"/>
          <w:szCs w:val="23"/>
          <w:lang w:eastAsia="it-IT"/>
        </w:rPr>
        <w:t> per la rilevazione dell'antigene SARS-CoV-2 alla prima comparsa dei sintomi e, se ancora sintomatici, al quinto giorno successivo alla data dell'ultimo contatto.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 xml:space="preserve">Ricordiamo che per l'applicazione del regime di </w:t>
      </w:r>
      <w:proofErr w:type="spellStart"/>
      <w:r w:rsidRPr="00B01887">
        <w:rPr>
          <w:rFonts w:ascii="Arial" w:eastAsia="Times New Roman" w:hAnsi="Arial" w:cs="Arial"/>
          <w:color w:val="000000"/>
          <w:sz w:val="21"/>
          <w:szCs w:val="21"/>
          <w:lang w:eastAsia="it-IT"/>
        </w:rPr>
        <w:t>autosorveglianza</w:t>
      </w:r>
      <w:proofErr w:type="spellEnd"/>
      <w:r w:rsidRPr="00B01887">
        <w:rPr>
          <w:rFonts w:ascii="Arial" w:eastAsia="Times New Roman" w:hAnsi="Arial" w:cs="Arial"/>
          <w:color w:val="000000"/>
          <w:sz w:val="21"/>
          <w:szCs w:val="21"/>
          <w:lang w:eastAsia="it-IT"/>
        </w:rPr>
        <w:t xml:space="preserve"> nell'ambito dei </w:t>
      </w:r>
      <w:r w:rsidRPr="00B01887">
        <w:rPr>
          <w:rFonts w:ascii="Arial" w:eastAsia="Times New Roman" w:hAnsi="Arial" w:cs="Arial"/>
          <w:b/>
          <w:bCs/>
          <w:color w:val="000000"/>
          <w:sz w:val="21"/>
          <w:szCs w:val="21"/>
          <w:lang w:eastAsia="it-IT"/>
        </w:rPr>
        <w:t>servizi educativi e nell'ambito scolastico</w:t>
      </w:r>
      <w:r w:rsidRPr="00B01887">
        <w:rPr>
          <w:rFonts w:ascii="Arial" w:eastAsia="Times New Roman" w:hAnsi="Arial" w:cs="Arial"/>
          <w:color w:val="000000"/>
          <w:sz w:val="21"/>
          <w:szCs w:val="21"/>
          <w:lang w:eastAsia="it-IT"/>
        </w:rPr>
        <w:t>, si applica l'articolo 6 del </w:t>
      </w:r>
      <w:hyperlink r:id="rId21" w:history="1">
        <w:r w:rsidRPr="00B01887">
          <w:rPr>
            <w:rFonts w:ascii="Arial" w:eastAsia="Times New Roman" w:hAnsi="Arial" w:cs="Arial"/>
            <w:color w:val="005EB3"/>
            <w:sz w:val="21"/>
            <w:szCs w:val="21"/>
            <w:u w:val="single"/>
            <w:lang w:eastAsia="it-IT"/>
          </w:rPr>
          <w:t>Decreto Legge 5/22</w:t>
        </w:r>
      </w:hyperlink>
      <w:r w:rsidRPr="00B01887">
        <w:rPr>
          <w:rFonts w:ascii="Arial" w:eastAsia="Times New Roman" w:hAnsi="Arial" w:cs="Arial"/>
          <w:color w:val="000000"/>
          <w:sz w:val="21"/>
          <w:szCs w:val="21"/>
          <w:lang w:eastAsia="it-IT"/>
        </w:rPr>
        <w:t> attualmente in fase di conversione alle Camere.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Criteri e modalità per i casi di isolamento</w:t>
      </w:r>
      <w:r w:rsidRPr="00B01887">
        <w:rPr>
          <w:rFonts w:ascii="Arial" w:eastAsia="Times New Roman" w:hAnsi="Arial" w:cs="Arial"/>
          <w:color w:val="000000"/>
          <w:sz w:val="21"/>
          <w:szCs w:val="21"/>
          <w:lang w:eastAsia="it-IT"/>
        </w:rPr>
        <w:t>, per aver contratto il virus, o di </w:t>
      </w:r>
      <w:r w:rsidRPr="00B01887">
        <w:rPr>
          <w:rFonts w:ascii="Arial" w:eastAsia="Times New Roman" w:hAnsi="Arial" w:cs="Arial"/>
          <w:b/>
          <w:bCs/>
          <w:color w:val="000000"/>
          <w:sz w:val="21"/>
          <w:szCs w:val="21"/>
          <w:lang w:eastAsia="it-IT"/>
        </w:rPr>
        <w:t>quarantena precauzionale</w:t>
      </w:r>
      <w:r w:rsidRPr="00B01887">
        <w:rPr>
          <w:rFonts w:ascii="Arial" w:eastAsia="Times New Roman" w:hAnsi="Arial" w:cs="Arial"/>
          <w:color w:val="000000"/>
          <w:sz w:val="21"/>
          <w:szCs w:val="21"/>
          <w:lang w:eastAsia="it-IT"/>
        </w:rPr>
        <w:t>, sono definiti con </w:t>
      </w:r>
      <w:r w:rsidRPr="00B01887">
        <w:rPr>
          <w:rFonts w:ascii="Arial" w:eastAsia="Times New Roman" w:hAnsi="Arial" w:cs="Arial"/>
          <w:b/>
          <w:bCs/>
          <w:color w:val="000000"/>
          <w:sz w:val="21"/>
          <w:szCs w:val="21"/>
          <w:lang w:eastAsia="it-IT"/>
        </w:rPr>
        <w:t>circolare del Ministero della Salute</w:t>
      </w:r>
      <w:r w:rsidRPr="00B01887">
        <w:rPr>
          <w:rFonts w:ascii="Arial" w:eastAsia="Times New Roman" w:hAnsi="Arial" w:cs="Arial"/>
          <w:color w:val="000000"/>
          <w:sz w:val="21"/>
          <w:szCs w:val="21"/>
          <w:lang w:eastAsia="it-IT"/>
        </w:rPr>
        <w:t>.</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La </w:t>
      </w:r>
      <w:r w:rsidRPr="00B01887">
        <w:rPr>
          <w:rFonts w:ascii="Arial" w:eastAsia="Times New Roman" w:hAnsi="Arial" w:cs="Arial"/>
          <w:b/>
          <w:bCs/>
          <w:color w:val="000000"/>
          <w:sz w:val="21"/>
          <w:szCs w:val="21"/>
          <w:lang w:eastAsia="it-IT"/>
        </w:rPr>
        <w:t>cessazione dell'isolamento e della quarantena precauzionale</w:t>
      </w:r>
      <w:r w:rsidRPr="00B01887">
        <w:rPr>
          <w:rFonts w:ascii="Arial" w:eastAsia="Times New Roman" w:hAnsi="Arial" w:cs="Arial"/>
          <w:color w:val="000000"/>
          <w:sz w:val="21"/>
          <w:szCs w:val="21"/>
          <w:lang w:eastAsia="it-IT"/>
        </w:rPr>
        <w:t> consegue all'esito negativo di un test antigenico rapido o molecolare effettuato anche presso centri privati abilitati. In quest'ultimo caso, la trasmissione, con modalità anche elettroniche, al dipartimento di prevenzione territorialmente competente del referto con esito negativo, determina la cessazione dell'isolamento o della quarantena.</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4" w:name="durata"/>
      <w:bookmarkEnd w:id="4"/>
      <w:r w:rsidRPr="00B01887">
        <w:rPr>
          <w:rFonts w:ascii="Arial" w:eastAsia="Times New Roman" w:hAnsi="Arial" w:cs="Arial"/>
          <w:b/>
          <w:bCs/>
          <w:i/>
          <w:iCs/>
          <w:color w:val="000000"/>
          <w:sz w:val="21"/>
          <w:szCs w:val="21"/>
          <w:lang w:eastAsia="it-IT"/>
        </w:rPr>
        <w:t>Durata del Green Pass</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A partire </w:t>
      </w:r>
      <w:r w:rsidRPr="00B01887">
        <w:rPr>
          <w:rFonts w:ascii="Arial" w:eastAsia="Times New Roman" w:hAnsi="Arial" w:cs="Arial"/>
          <w:b/>
          <w:bCs/>
          <w:color w:val="000000"/>
          <w:sz w:val="21"/>
          <w:szCs w:val="21"/>
          <w:lang w:eastAsia="it-IT"/>
        </w:rPr>
        <w:t>dal 1° febbraio 2022</w:t>
      </w:r>
      <w:r w:rsidRPr="00B01887">
        <w:rPr>
          <w:rFonts w:ascii="Arial" w:eastAsia="Times New Roman" w:hAnsi="Arial" w:cs="Arial"/>
          <w:color w:val="000000"/>
          <w:sz w:val="21"/>
          <w:szCs w:val="21"/>
          <w:lang w:eastAsia="it-IT"/>
        </w:rPr>
        <w:t> la durata del Green Pass passa </w:t>
      </w:r>
      <w:r w:rsidRPr="00B01887">
        <w:rPr>
          <w:rFonts w:ascii="Arial" w:eastAsia="Times New Roman" w:hAnsi="Arial" w:cs="Arial"/>
          <w:b/>
          <w:bCs/>
          <w:color w:val="000000"/>
          <w:sz w:val="21"/>
          <w:szCs w:val="21"/>
          <w:lang w:eastAsia="it-IT"/>
        </w:rPr>
        <w:t>da nove a sei mesi</w:t>
      </w:r>
      <w:r w:rsidRPr="00B01887">
        <w:rPr>
          <w:rFonts w:ascii="Arial" w:eastAsia="Times New Roman" w:hAnsi="Arial" w:cs="Arial"/>
          <w:color w:val="000000"/>
          <w:sz w:val="21"/>
          <w:szCs w:val="21"/>
          <w:lang w:eastAsia="it-IT"/>
        </w:rPr>
        <w:t>. </w:t>
      </w:r>
      <w:r w:rsidRPr="00B01887">
        <w:rPr>
          <w:rFonts w:ascii="Arial" w:eastAsia="Times New Roman" w:hAnsi="Arial" w:cs="Arial"/>
          <w:b/>
          <w:bCs/>
          <w:color w:val="000000"/>
          <w:sz w:val="21"/>
          <w:szCs w:val="21"/>
          <w:lang w:eastAsia="it-IT"/>
        </w:rPr>
        <w:t>La norma va tuttavia coordinata con quanto previsto dall'art. 1 del DL 5/22.</w:t>
      </w:r>
      <w:r w:rsidRPr="00B01887">
        <w:rPr>
          <w:rFonts w:ascii="Arial" w:eastAsia="Times New Roman" w:hAnsi="Arial" w:cs="Arial"/>
          <w:color w:val="000000"/>
          <w:sz w:val="21"/>
          <w:szCs w:val="21"/>
          <w:lang w:eastAsia="it-IT"/>
        </w:rPr>
        <w:t> Pertanto la certificazione verde COVID-19, ha una </w:t>
      </w:r>
      <w:r w:rsidRPr="00B01887">
        <w:rPr>
          <w:rFonts w:ascii="Arial" w:eastAsia="Times New Roman" w:hAnsi="Arial" w:cs="Arial"/>
          <w:b/>
          <w:bCs/>
          <w:color w:val="000000"/>
          <w:sz w:val="21"/>
          <w:szCs w:val="21"/>
          <w:lang w:eastAsia="it-IT"/>
        </w:rPr>
        <w:t>validità di sei mesi </w:t>
      </w:r>
      <w:r w:rsidRPr="00B01887">
        <w:rPr>
          <w:rFonts w:ascii="Arial" w:eastAsia="Times New Roman" w:hAnsi="Arial" w:cs="Arial"/>
          <w:color w:val="000000"/>
          <w:sz w:val="21"/>
          <w:szCs w:val="21"/>
          <w:lang w:eastAsia="it-IT"/>
        </w:rPr>
        <w:t>dalla data di</w:t>
      </w:r>
    </w:p>
    <w:p w:rsidR="00B01887" w:rsidRPr="00B01887" w:rsidRDefault="00B01887" w:rsidP="00B01887">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b/>
          <w:bCs/>
          <w:color w:val="000000"/>
          <w:sz w:val="23"/>
          <w:szCs w:val="23"/>
          <w:lang w:eastAsia="it-IT"/>
        </w:rPr>
        <w:t>completamento del ciclo vaccinale primario</w:t>
      </w:r>
      <w:r w:rsidRPr="00B01887">
        <w:rPr>
          <w:rFonts w:ascii="Arial" w:eastAsia="Times New Roman" w:hAnsi="Arial" w:cs="Arial"/>
          <w:color w:val="000000"/>
          <w:sz w:val="23"/>
          <w:szCs w:val="23"/>
          <w:lang w:eastAsia="it-IT"/>
        </w:rPr>
        <w:t> ed è rilasciata automaticamente all'interessato, in formato cartaceo o digitale, dalla struttura sanitaria ovvero dall'esercente la professione sanitaria che effettua la vaccinazione e contestualmente alla stessa, al termine del predetto </w:t>
      </w:r>
      <w:r w:rsidRPr="00B01887">
        <w:rPr>
          <w:rFonts w:ascii="Arial" w:eastAsia="Times New Roman" w:hAnsi="Arial" w:cs="Arial"/>
          <w:b/>
          <w:bCs/>
          <w:color w:val="000000"/>
          <w:sz w:val="23"/>
          <w:szCs w:val="23"/>
          <w:lang w:eastAsia="it-IT"/>
        </w:rPr>
        <w:t>ciclo</w:t>
      </w:r>
    </w:p>
    <w:p w:rsidR="00B01887" w:rsidRPr="00B01887" w:rsidRDefault="00B01887" w:rsidP="00B01887">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b/>
          <w:bCs/>
          <w:color w:val="000000"/>
          <w:sz w:val="23"/>
          <w:szCs w:val="23"/>
          <w:lang w:eastAsia="it-IT"/>
        </w:rPr>
        <w:t>avvenuta guarigione</w:t>
      </w:r>
      <w:r w:rsidRPr="00B01887">
        <w:rPr>
          <w:rFonts w:ascii="Arial" w:eastAsia="Times New Roman" w:hAnsi="Arial" w:cs="Arial"/>
          <w:color w:val="000000"/>
          <w:sz w:val="23"/>
          <w:szCs w:val="23"/>
          <w:lang w:eastAsia="it-IT"/>
        </w:rPr>
        <w:t> nei casi accertati positivi al SARS-CoV-2 oltre il quattordicesimo giorno dalla somministrazione della prima dose di vaccino.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Il Green Pass </w:t>
      </w:r>
      <w:r w:rsidRPr="00B01887">
        <w:rPr>
          <w:rFonts w:ascii="Arial" w:eastAsia="Times New Roman" w:hAnsi="Arial" w:cs="Arial"/>
          <w:b/>
          <w:bCs/>
          <w:color w:val="000000"/>
          <w:sz w:val="21"/>
          <w:szCs w:val="21"/>
          <w:lang w:eastAsia="it-IT"/>
        </w:rPr>
        <w:t>non ha limite temporale di durata</w:t>
      </w:r>
      <w:r w:rsidRPr="00B01887">
        <w:rPr>
          <w:rFonts w:ascii="Arial" w:eastAsia="Times New Roman" w:hAnsi="Arial" w:cs="Arial"/>
          <w:color w:val="000000"/>
          <w:sz w:val="21"/>
          <w:szCs w:val="21"/>
          <w:lang w:eastAsia="it-IT"/>
        </w:rPr>
        <w:t> nei casi di</w:t>
      </w:r>
    </w:p>
    <w:p w:rsidR="00B01887" w:rsidRPr="00B01887" w:rsidRDefault="00B01887" w:rsidP="00B01887">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b/>
          <w:bCs/>
          <w:color w:val="000000"/>
          <w:sz w:val="23"/>
          <w:szCs w:val="23"/>
          <w:lang w:eastAsia="it-IT"/>
        </w:rPr>
        <w:t>somministrazione</w:t>
      </w:r>
      <w:r w:rsidRPr="00B01887">
        <w:rPr>
          <w:rFonts w:ascii="Arial" w:eastAsia="Times New Roman" w:hAnsi="Arial" w:cs="Arial"/>
          <w:color w:val="000000"/>
          <w:sz w:val="23"/>
          <w:szCs w:val="23"/>
          <w:lang w:eastAsia="it-IT"/>
        </w:rPr>
        <w:t> della dose di richiamo successivo al ciclo vaccinale primario</w:t>
      </w:r>
    </w:p>
    <w:p w:rsidR="00B01887" w:rsidRPr="00B01887" w:rsidRDefault="00B01887" w:rsidP="00B01887">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b/>
          <w:bCs/>
          <w:color w:val="000000"/>
          <w:sz w:val="23"/>
          <w:szCs w:val="23"/>
          <w:lang w:eastAsia="it-IT"/>
        </w:rPr>
        <w:t>avvenuta guarigione</w:t>
      </w:r>
      <w:r w:rsidRPr="00B01887">
        <w:rPr>
          <w:rFonts w:ascii="Arial" w:eastAsia="Times New Roman" w:hAnsi="Arial" w:cs="Arial"/>
          <w:color w:val="000000"/>
          <w:sz w:val="23"/>
          <w:szCs w:val="23"/>
          <w:lang w:eastAsia="it-IT"/>
        </w:rPr>
        <w:t> nei casi accertati positivi al SARS-CoV-2 a seguito del ciclo vaccinale primario o della somministrazione della relativa dose di richiamo.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5" w:name="green_pass"/>
      <w:bookmarkEnd w:id="5"/>
      <w:r w:rsidRPr="00B01887">
        <w:rPr>
          <w:rFonts w:ascii="Arial" w:eastAsia="Times New Roman" w:hAnsi="Arial" w:cs="Arial"/>
          <w:b/>
          <w:bCs/>
          <w:i/>
          <w:iCs/>
          <w:color w:val="000000"/>
          <w:sz w:val="21"/>
          <w:szCs w:val="21"/>
          <w:lang w:eastAsia="it-IT"/>
        </w:rPr>
        <w:t>Green pass base e green pass rafforzato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Introdotte per legge le </w:t>
      </w:r>
      <w:r w:rsidRPr="00B01887">
        <w:rPr>
          <w:rFonts w:ascii="Arial" w:eastAsia="Times New Roman" w:hAnsi="Arial" w:cs="Arial"/>
          <w:b/>
          <w:bCs/>
          <w:color w:val="000000"/>
          <w:sz w:val="21"/>
          <w:szCs w:val="21"/>
          <w:lang w:eastAsia="it-IT"/>
        </w:rPr>
        <w:t>definizioni di green pass base e green pass rafforzato</w:t>
      </w:r>
      <w:r w:rsidRPr="00B01887">
        <w:rPr>
          <w:rFonts w:ascii="Arial" w:eastAsia="Times New Roman" w:hAnsi="Arial" w:cs="Arial"/>
          <w:color w:val="000000"/>
          <w:sz w:val="21"/>
          <w:szCs w:val="21"/>
          <w:lang w:eastAsia="it-IT"/>
        </w:rPr>
        <w:t>.</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lastRenderedPageBreak/>
        <w:t>È in possesso sia del </w:t>
      </w:r>
      <w:r w:rsidRPr="00B01887">
        <w:rPr>
          <w:rFonts w:ascii="Arial" w:eastAsia="Times New Roman" w:hAnsi="Arial" w:cs="Arial"/>
          <w:b/>
          <w:bCs/>
          <w:color w:val="000000"/>
          <w:sz w:val="21"/>
          <w:szCs w:val="21"/>
          <w:lang w:eastAsia="it-IT"/>
        </w:rPr>
        <w:t>green pass rafforzato</w:t>
      </w:r>
      <w:r w:rsidRPr="00B01887">
        <w:rPr>
          <w:rFonts w:ascii="Arial" w:eastAsia="Times New Roman" w:hAnsi="Arial" w:cs="Arial"/>
          <w:color w:val="000000"/>
          <w:sz w:val="21"/>
          <w:szCs w:val="21"/>
          <w:lang w:eastAsia="it-IT"/>
        </w:rPr>
        <w:t> che di quello base colui/colei che si trovi in uno dei casi di seguito elencati</w:t>
      </w:r>
    </w:p>
    <w:p w:rsidR="00B01887" w:rsidRPr="00B01887" w:rsidRDefault="00B01887" w:rsidP="00B01887">
      <w:pPr>
        <w:numPr>
          <w:ilvl w:val="0"/>
          <w:numId w:val="4"/>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avvenuta vaccinazione anti-SARS-CoV-2, al termine del ciclo vaccinale primario o a seguito della somministrazione della relativa dose di richiamo</w:t>
      </w:r>
    </w:p>
    <w:p w:rsidR="00B01887" w:rsidRPr="00B01887" w:rsidRDefault="00B01887" w:rsidP="00B01887">
      <w:pPr>
        <w:numPr>
          <w:ilvl w:val="0"/>
          <w:numId w:val="4"/>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avvenuta guarigione da COVID-19, con contestuale cessazione dell'isolamento prescritto in seguito ad infezione da SARS-CoV-2</w:t>
      </w:r>
    </w:p>
    <w:p w:rsidR="00B01887" w:rsidRPr="00B01887" w:rsidRDefault="00B01887" w:rsidP="00B01887">
      <w:pPr>
        <w:numPr>
          <w:ilvl w:val="0"/>
          <w:numId w:val="4"/>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avvenuta guarigione da COVID-19 dopo la somministrazione della prima dose di vaccino o al termine del ciclo vaccinale primario o a seguito della somministrazione della relativa dose di richiamo.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È in possesso del solo </w:t>
      </w:r>
      <w:r w:rsidRPr="00B01887">
        <w:rPr>
          <w:rFonts w:ascii="Arial" w:eastAsia="Times New Roman" w:hAnsi="Arial" w:cs="Arial"/>
          <w:b/>
          <w:bCs/>
          <w:color w:val="000000"/>
          <w:sz w:val="21"/>
          <w:szCs w:val="21"/>
          <w:lang w:eastAsia="it-IT"/>
        </w:rPr>
        <w:t>green pass base</w:t>
      </w:r>
      <w:r w:rsidRPr="00B01887">
        <w:rPr>
          <w:rFonts w:ascii="Arial" w:eastAsia="Times New Roman" w:hAnsi="Arial" w:cs="Arial"/>
          <w:color w:val="000000"/>
          <w:sz w:val="21"/>
          <w:szCs w:val="21"/>
          <w:lang w:eastAsia="it-IT"/>
        </w:rPr>
        <w:t> colui/colei che ha effettuato un test antigenico rapido o molecolare con esito negativo al virus SARS-CoV-2</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6" w:name="impiego"/>
      <w:bookmarkEnd w:id="6"/>
      <w:r w:rsidRPr="00B01887">
        <w:rPr>
          <w:rFonts w:ascii="Arial" w:eastAsia="Times New Roman" w:hAnsi="Arial" w:cs="Arial"/>
          <w:b/>
          <w:bCs/>
          <w:i/>
          <w:iCs/>
          <w:color w:val="000000"/>
          <w:sz w:val="21"/>
          <w:szCs w:val="21"/>
          <w:lang w:eastAsia="it-IT"/>
        </w:rPr>
        <w:t>Impiego del Green Pass</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i/>
          <w:iCs/>
          <w:color w:val="000000"/>
          <w:sz w:val="21"/>
          <w:szCs w:val="21"/>
          <w:lang w:eastAsia="it-IT"/>
        </w:rPr>
        <w:t>Green pass base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Fino al 31 marzo </w:t>
      </w:r>
      <w:r w:rsidRPr="00B01887">
        <w:rPr>
          <w:rFonts w:ascii="Arial" w:eastAsia="Times New Roman" w:hAnsi="Arial" w:cs="Arial"/>
          <w:color w:val="000000"/>
          <w:sz w:val="21"/>
          <w:szCs w:val="21"/>
          <w:lang w:eastAsia="it-IT"/>
        </w:rPr>
        <w:t>e su tutto il territorio nazionale ivi compresi quelli collocati in zona arancione e rossa, è consentito </w:t>
      </w:r>
      <w:r w:rsidRPr="00B01887">
        <w:rPr>
          <w:rFonts w:ascii="Arial" w:eastAsia="Times New Roman" w:hAnsi="Arial" w:cs="Arial"/>
          <w:b/>
          <w:bCs/>
          <w:color w:val="000000"/>
          <w:sz w:val="21"/>
          <w:szCs w:val="21"/>
          <w:lang w:eastAsia="it-IT"/>
        </w:rPr>
        <w:t>l'accesso ai concorsi pubblici e ai corsi di formazione pubblici</w:t>
      </w:r>
      <w:r w:rsidRPr="00B01887">
        <w:rPr>
          <w:rFonts w:ascii="Arial" w:eastAsia="Times New Roman" w:hAnsi="Arial" w:cs="Arial"/>
          <w:color w:val="000000"/>
          <w:sz w:val="21"/>
          <w:szCs w:val="21"/>
          <w:lang w:eastAsia="it-IT"/>
        </w:rPr>
        <w:t>, a coloro che siano in possesso del Green pass base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i/>
          <w:iCs/>
          <w:color w:val="000000"/>
          <w:sz w:val="21"/>
          <w:szCs w:val="21"/>
          <w:lang w:eastAsia="it-IT"/>
        </w:rPr>
        <w:t>Green pass rafforzato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Fino al 31 marzo 2022</w:t>
      </w:r>
      <w:r w:rsidRPr="00B01887">
        <w:rPr>
          <w:rFonts w:ascii="Arial" w:eastAsia="Times New Roman" w:hAnsi="Arial" w:cs="Arial"/>
          <w:color w:val="000000"/>
          <w:sz w:val="21"/>
          <w:szCs w:val="21"/>
          <w:lang w:eastAsia="it-IT"/>
        </w:rPr>
        <w:t> e su tutto il territorio nazionale ivi compresi quelli collocati in zona arancione e rossa possono accedere ai </w:t>
      </w:r>
      <w:r w:rsidRPr="00B01887">
        <w:rPr>
          <w:rFonts w:ascii="Arial" w:eastAsia="Times New Roman" w:hAnsi="Arial" w:cs="Arial"/>
          <w:b/>
          <w:bCs/>
          <w:color w:val="000000"/>
          <w:sz w:val="21"/>
          <w:szCs w:val="21"/>
          <w:lang w:eastAsia="it-IT"/>
        </w:rPr>
        <w:t>musei, altri istituti e luoghi della cultura e mostre</w:t>
      </w:r>
      <w:r w:rsidRPr="00B01887">
        <w:rPr>
          <w:rFonts w:ascii="Arial" w:eastAsia="Times New Roman" w:hAnsi="Arial" w:cs="Arial"/>
          <w:color w:val="000000"/>
          <w:sz w:val="21"/>
          <w:szCs w:val="21"/>
          <w:lang w:eastAsia="it-IT"/>
        </w:rPr>
        <w:t> solamente coloro che siano in possesso del green pass rafforzato</w:t>
      </w:r>
      <w:r w:rsidRPr="00B01887">
        <w:rPr>
          <w:rFonts w:ascii="Arial" w:eastAsia="Times New Roman" w:hAnsi="Arial" w:cs="Arial"/>
          <w:b/>
          <w:bCs/>
          <w:color w:val="000000"/>
          <w:sz w:val="21"/>
          <w:szCs w:val="21"/>
          <w:lang w:eastAsia="it-IT"/>
        </w:rPr>
        <w:t>.</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7" w:name="dispositivi"/>
      <w:bookmarkEnd w:id="7"/>
      <w:r w:rsidRPr="00B01887">
        <w:rPr>
          <w:rFonts w:ascii="Arial" w:eastAsia="Times New Roman" w:hAnsi="Arial" w:cs="Arial"/>
          <w:b/>
          <w:bCs/>
          <w:i/>
          <w:iCs/>
          <w:color w:val="000000"/>
          <w:sz w:val="21"/>
          <w:szCs w:val="21"/>
          <w:lang w:eastAsia="it-IT"/>
        </w:rPr>
        <w:t>Dispositivi di protezione delle vie respiratorie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Fino alla cessazione dello stato di emergenza</w:t>
      </w:r>
      <w:r w:rsidRPr="00B01887">
        <w:rPr>
          <w:rFonts w:ascii="Arial" w:eastAsia="Times New Roman" w:hAnsi="Arial" w:cs="Arial"/>
          <w:color w:val="000000"/>
          <w:sz w:val="21"/>
          <w:szCs w:val="21"/>
          <w:lang w:eastAsia="it-IT"/>
        </w:rPr>
        <w:t> per l’accesso ai </w:t>
      </w:r>
      <w:r w:rsidRPr="00B01887">
        <w:rPr>
          <w:rFonts w:ascii="Arial" w:eastAsia="Times New Roman" w:hAnsi="Arial" w:cs="Arial"/>
          <w:b/>
          <w:bCs/>
          <w:color w:val="000000"/>
          <w:sz w:val="21"/>
          <w:szCs w:val="21"/>
          <w:lang w:eastAsia="it-IT"/>
        </w:rPr>
        <w:t>mezzi di trasporto</w:t>
      </w:r>
      <w:r w:rsidRPr="00B01887">
        <w:rPr>
          <w:rFonts w:ascii="Arial" w:eastAsia="Times New Roman" w:hAnsi="Arial" w:cs="Arial"/>
          <w:color w:val="000000"/>
          <w:sz w:val="21"/>
          <w:szCs w:val="21"/>
          <w:lang w:eastAsia="it-IT"/>
        </w:rPr>
        <w:t> adibiti a servizi di trasporto di persone è obbligatorio l’utilizzo di dispositivi di protezione delle vie respiratorie di tipo </w:t>
      </w:r>
      <w:r w:rsidRPr="00B01887">
        <w:rPr>
          <w:rFonts w:ascii="Arial" w:eastAsia="Times New Roman" w:hAnsi="Arial" w:cs="Arial"/>
          <w:b/>
          <w:bCs/>
          <w:color w:val="000000"/>
          <w:sz w:val="21"/>
          <w:szCs w:val="21"/>
          <w:lang w:eastAsia="it-IT"/>
        </w:rPr>
        <w:t>FFP2 e il possesso e l'esibizione del green pass rafforzato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Ricordiamo che il DL 5/12 ha introdotto alcune </w:t>
      </w:r>
      <w:r w:rsidRPr="00B01887">
        <w:rPr>
          <w:rFonts w:ascii="Arial" w:eastAsia="Times New Roman" w:hAnsi="Arial" w:cs="Arial"/>
          <w:b/>
          <w:bCs/>
          <w:color w:val="000000"/>
          <w:sz w:val="21"/>
          <w:szCs w:val="21"/>
          <w:lang w:eastAsia="it-IT"/>
        </w:rPr>
        <w:t>deroghe all'obbligo del green pass rafforzato.</w:t>
      </w:r>
      <w:r w:rsidRPr="00B01887">
        <w:rPr>
          <w:rFonts w:ascii="Arial" w:eastAsia="Times New Roman" w:hAnsi="Arial" w:cs="Arial"/>
          <w:color w:val="000000"/>
          <w:sz w:val="21"/>
          <w:szCs w:val="21"/>
          <w:lang w:eastAsia="it-IT"/>
        </w:rPr>
        <w:t> Infatti è sufficiente il green pass base per gli spostamenti</w:t>
      </w:r>
    </w:p>
    <w:p w:rsidR="00B01887" w:rsidRPr="00B01887" w:rsidRDefault="00B01887" w:rsidP="00B01887">
      <w:pPr>
        <w:numPr>
          <w:ilvl w:val="0"/>
          <w:numId w:val="5"/>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da e per le isole con il resto del territorio italiano</w:t>
      </w:r>
    </w:p>
    <w:p w:rsidR="00B01887" w:rsidRPr="00B01887" w:rsidRDefault="00B01887" w:rsidP="00B01887">
      <w:pPr>
        <w:numPr>
          <w:ilvl w:val="0"/>
          <w:numId w:val="5"/>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da e per le isole lacustri e lagunari</w:t>
      </w:r>
    </w:p>
    <w:p w:rsidR="00B01887" w:rsidRPr="00B01887" w:rsidRDefault="00B01887" w:rsidP="00B01887">
      <w:pPr>
        <w:numPr>
          <w:ilvl w:val="0"/>
          <w:numId w:val="5"/>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per quelli dedicati al trasporto scolastico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8" w:name="potenziamento"/>
      <w:bookmarkEnd w:id="8"/>
      <w:r w:rsidRPr="00B01887">
        <w:rPr>
          <w:rFonts w:ascii="Arial" w:eastAsia="Times New Roman" w:hAnsi="Arial" w:cs="Arial"/>
          <w:b/>
          <w:bCs/>
          <w:i/>
          <w:iCs/>
          <w:color w:val="000000"/>
          <w:sz w:val="21"/>
          <w:szCs w:val="21"/>
          <w:lang w:eastAsia="it-IT"/>
        </w:rPr>
        <w:t>Potenziamento delle infrastrutture strategiche per le emergenze sanitarie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Per fronteggiare le esigenze connesse all'epidemia da COVID-19 e garantire una capacità per eventuali emergenze sanitarie future, vengono stanziati sei milioni di euro per la </w:t>
      </w:r>
      <w:r w:rsidRPr="00B01887">
        <w:rPr>
          <w:rFonts w:ascii="Arial" w:eastAsia="Times New Roman" w:hAnsi="Arial" w:cs="Arial"/>
          <w:b/>
          <w:bCs/>
          <w:color w:val="000000"/>
          <w:sz w:val="21"/>
          <w:szCs w:val="21"/>
          <w:lang w:eastAsia="it-IT"/>
        </w:rPr>
        <w:t>realizzazione e l'allestimento</w:t>
      </w:r>
      <w:r w:rsidRPr="00B01887">
        <w:rPr>
          <w:rFonts w:ascii="Arial" w:eastAsia="Times New Roman" w:hAnsi="Arial" w:cs="Arial"/>
          <w:color w:val="000000"/>
          <w:sz w:val="21"/>
          <w:szCs w:val="21"/>
          <w:lang w:eastAsia="it-IT"/>
        </w:rPr>
        <w:t>, da parte del Ministero della difesa, di una </w:t>
      </w:r>
      <w:r w:rsidRPr="00B01887">
        <w:rPr>
          <w:rFonts w:ascii="Arial" w:eastAsia="Times New Roman" w:hAnsi="Arial" w:cs="Arial"/>
          <w:b/>
          <w:bCs/>
          <w:color w:val="000000"/>
          <w:sz w:val="21"/>
          <w:szCs w:val="21"/>
          <w:lang w:eastAsia="it-IT"/>
        </w:rPr>
        <w:t>infrastruttura presso un sito militare </w:t>
      </w:r>
      <w:r w:rsidRPr="00B01887">
        <w:rPr>
          <w:rFonts w:ascii="Arial" w:eastAsia="Times New Roman" w:hAnsi="Arial" w:cs="Arial"/>
          <w:color w:val="000000"/>
          <w:sz w:val="21"/>
          <w:szCs w:val="21"/>
          <w:lang w:eastAsia="it-IT"/>
        </w:rPr>
        <w:t>difesa, idoneo a consentire lo stoccaggio e la conservazione delle dosi vaccinali per le esigenze nazionali.</w:t>
      </w:r>
    </w:p>
    <w:bookmarkEnd w:id="1"/>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Disposizioni sui settori della conoscenza</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9" w:name="scuola"/>
      <w:bookmarkEnd w:id="9"/>
      <w:r w:rsidRPr="00B01887">
        <w:rPr>
          <w:rFonts w:ascii="Arial" w:eastAsia="Times New Roman" w:hAnsi="Arial" w:cs="Arial"/>
          <w:b/>
          <w:bCs/>
          <w:i/>
          <w:iCs/>
          <w:color w:val="000000"/>
          <w:sz w:val="21"/>
          <w:szCs w:val="21"/>
          <w:lang w:eastAsia="it-IT"/>
        </w:rPr>
        <w:t>Scuola</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Fino al 31 marzo 2022</w:t>
      </w:r>
      <w:r w:rsidRPr="00B01887">
        <w:rPr>
          <w:rFonts w:ascii="Arial" w:eastAsia="Times New Roman" w:hAnsi="Arial" w:cs="Arial"/>
          <w:color w:val="000000"/>
          <w:sz w:val="21"/>
          <w:szCs w:val="21"/>
          <w:lang w:eastAsia="it-IT"/>
        </w:rPr>
        <w:t> </w:t>
      </w:r>
      <w:r w:rsidRPr="00B01887">
        <w:rPr>
          <w:rFonts w:ascii="Arial" w:eastAsia="Times New Roman" w:hAnsi="Arial" w:cs="Arial"/>
          <w:b/>
          <w:bCs/>
          <w:color w:val="000000"/>
          <w:sz w:val="21"/>
          <w:szCs w:val="21"/>
          <w:lang w:eastAsia="it-IT"/>
        </w:rPr>
        <w:t>chiunque acceda</w:t>
      </w:r>
      <w:r w:rsidRPr="00B01887">
        <w:rPr>
          <w:rFonts w:ascii="Arial" w:eastAsia="Times New Roman" w:hAnsi="Arial" w:cs="Arial"/>
          <w:color w:val="000000"/>
          <w:sz w:val="21"/>
          <w:szCs w:val="21"/>
          <w:lang w:eastAsia="it-IT"/>
        </w:rPr>
        <w:t> alle strutture del sistema nazionale di istruzione, delle scuole non paritarie, dei servizi educativi per l'infanzia, dei centri provinciali per l'istruzione degli adulti, dei sistemi regionali di istruzione e formazione professionale e dei sistemi regionali che realizzano i percorsi di istruzione e formazione tecnica superiore e degli istituti tecnici superiori deve possedere ed </w:t>
      </w:r>
      <w:r w:rsidRPr="00B01887">
        <w:rPr>
          <w:rFonts w:ascii="Arial" w:eastAsia="Times New Roman" w:hAnsi="Arial" w:cs="Arial"/>
          <w:b/>
          <w:bCs/>
          <w:color w:val="000000"/>
          <w:sz w:val="21"/>
          <w:szCs w:val="21"/>
          <w:lang w:eastAsia="it-IT"/>
        </w:rPr>
        <w:t>è tenuto a esibire il Green pass base</w:t>
      </w:r>
      <w:r w:rsidRPr="00B01887">
        <w:rPr>
          <w:rFonts w:ascii="Arial" w:eastAsia="Times New Roman" w:hAnsi="Arial" w:cs="Arial"/>
          <w:color w:val="000000"/>
          <w:sz w:val="21"/>
          <w:szCs w:val="21"/>
          <w:lang w:eastAsia="it-IT"/>
        </w:rPr>
        <w:t>. Ricordiamo che tale disposizione </w:t>
      </w:r>
      <w:r w:rsidRPr="00B01887">
        <w:rPr>
          <w:rFonts w:ascii="Arial" w:eastAsia="Times New Roman" w:hAnsi="Arial" w:cs="Arial"/>
          <w:b/>
          <w:bCs/>
          <w:color w:val="000000"/>
          <w:sz w:val="21"/>
          <w:szCs w:val="21"/>
          <w:lang w:eastAsia="it-IT"/>
        </w:rPr>
        <w:t>non si applica</w:t>
      </w:r>
      <w:r w:rsidRPr="00B01887">
        <w:rPr>
          <w:rFonts w:ascii="Arial" w:eastAsia="Times New Roman" w:hAnsi="Arial" w:cs="Arial"/>
          <w:color w:val="000000"/>
          <w:sz w:val="21"/>
          <w:szCs w:val="21"/>
          <w:lang w:eastAsia="it-IT"/>
        </w:rPr>
        <w:t xml:space="preserve"> ai bambini, agli alunni e </w:t>
      </w:r>
      <w:r w:rsidRPr="00B01887">
        <w:rPr>
          <w:rFonts w:ascii="Arial" w:eastAsia="Times New Roman" w:hAnsi="Arial" w:cs="Arial"/>
          <w:color w:val="000000"/>
          <w:sz w:val="21"/>
          <w:szCs w:val="21"/>
          <w:lang w:eastAsia="it-IT"/>
        </w:rPr>
        <w:lastRenderedPageBreak/>
        <w:t>agli studenti e a coloro che frequentano i sistemi regionali di formazione, a eccezione di coloro che prendono parte ai percorsi formativi degli istituti tecnici superiori e degli istituti di istruzione e formazione tecnica superiore.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Il rispetto di tali norme è </w:t>
      </w:r>
      <w:r w:rsidRPr="00B01887">
        <w:rPr>
          <w:rFonts w:ascii="Arial" w:eastAsia="Times New Roman" w:hAnsi="Arial" w:cs="Arial"/>
          <w:b/>
          <w:bCs/>
          <w:color w:val="000000"/>
          <w:sz w:val="21"/>
          <w:szCs w:val="21"/>
          <w:lang w:eastAsia="it-IT"/>
        </w:rPr>
        <w:t>verificato dai responsabili delle istituzioni o da altro personale da questi a tal fine delegato</w:t>
      </w:r>
      <w:r w:rsidRPr="00B01887">
        <w:rPr>
          <w:rFonts w:ascii="Arial" w:eastAsia="Times New Roman" w:hAnsi="Arial" w:cs="Arial"/>
          <w:color w:val="000000"/>
          <w:sz w:val="21"/>
          <w:szCs w:val="21"/>
          <w:lang w:eastAsia="it-IT"/>
        </w:rPr>
        <w:t>. Le verifiche sono effettuate a campione anche utilizzando l'apposita applicazione mobile prevista dall'articolo 13 del DPCM del 17 giugno 2021. Nel caso in cui l'accesso alle strutture sia motivato da </w:t>
      </w:r>
      <w:r w:rsidRPr="00B01887">
        <w:rPr>
          <w:rFonts w:ascii="Arial" w:eastAsia="Times New Roman" w:hAnsi="Arial" w:cs="Arial"/>
          <w:b/>
          <w:bCs/>
          <w:color w:val="000000"/>
          <w:sz w:val="21"/>
          <w:szCs w:val="21"/>
          <w:lang w:eastAsia="it-IT"/>
        </w:rPr>
        <w:t>ragioni di servizio o di lavoro</w:t>
      </w:r>
      <w:r w:rsidRPr="00B01887">
        <w:rPr>
          <w:rFonts w:ascii="Arial" w:eastAsia="Times New Roman" w:hAnsi="Arial" w:cs="Arial"/>
          <w:color w:val="000000"/>
          <w:sz w:val="21"/>
          <w:szCs w:val="21"/>
          <w:lang w:eastAsia="it-IT"/>
        </w:rPr>
        <w:t>, la verifica del rispetto delle disposizioni deve essere effettuata, anche a campione, dai rispettivi datori di lavoro o dai loro delegati.</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Nei </w:t>
      </w:r>
      <w:r w:rsidRPr="00B01887">
        <w:rPr>
          <w:rFonts w:ascii="Arial" w:eastAsia="Times New Roman" w:hAnsi="Arial" w:cs="Arial"/>
          <w:b/>
          <w:bCs/>
          <w:color w:val="000000"/>
          <w:sz w:val="21"/>
          <w:szCs w:val="21"/>
          <w:lang w:eastAsia="it-IT"/>
        </w:rPr>
        <w:t xml:space="preserve">casi in cui il green pass base non sia stato generato e non sia stata </w:t>
      </w:r>
      <w:proofErr w:type="gramStart"/>
      <w:r w:rsidRPr="00B01887">
        <w:rPr>
          <w:rFonts w:ascii="Arial" w:eastAsia="Times New Roman" w:hAnsi="Arial" w:cs="Arial"/>
          <w:b/>
          <w:bCs/>
          <w:color w:val="000000"/>
          <w:sz w:val="21"/>
          <w:szCs w:val="21"/>
          <w:lang w:eastAsia="it-IT"/>
        </w:rPr>
        <w:t>rilasciato  in</w:t>
      </w:r>
      <w:proofErr w:type="gramEnd"/>
      <w:r w:rsidRPr="00B01887">
        <w:rPr>
          <w:rFonts w:ascii="Arial" w:eastAsia="Times New Roman" w:hAnsi="Arial" w:cs="Arial"/>
          <w:b/>
          <w:bCs/>
          <w:color w:val="000000"/>
          <w:sz w:val="21"/>
          <w:szCs w:val="21"/>
          <w:lang w:eastAsia="it-IT"/>
        </w:rPr>
        <w:t xml:space="preserve"> formato cartaceo o digitale</w:t>
      </w:r>
      <w:r w:rsidRPr="00B01887">
        <w:rPr>
          <w:rFonts w:ascii="Arial" w:eastAsia="Times New Roman" w:hAnsi="Arial" w:cs="Arial"/>
          <w:color w:val="000000"/>
          <w:sz w:val="21"/>
          <w:szCs w:val="21"/>
          <w:lang w:eastAsia="it-IT"/>
        </w:rPr>
        <w:t>, l'interessato può presentare un certificato rilasciato dalla struttura sanitaria ovvero dall'esercente la professione sanitaria che ha effettuato la vaccinazione o dal proprio medico di medicina generale.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Rimane l’obbligo vaccinale per il personale scolastico</w:t>
      </w:r>
      <w:r w:rsidRPr="00B01887">
        <w:rPr>
          <w:rFonts w:ascii="Arial" w:eastAsia="Times New Roman" w:hAnsi="Arial" w:cs="Arial"/>
          <w:color w:val="000000"/>
          <w:sz w:val="21"/>
          <w:szCs w:val="21"/>
          <w:lang w:eastAsia="it-IT"/>
        </w:rPr>
        <w:t> del sistema nazionale di istruzione, delle scuole non paritarie, dei servizi educativi per l'infanzia di cui all'articolo 2 del decreto legislativo 13 aprile 2017, n. 65, dei centri provinciali per l'istruzione degli adulti, dei sistemi regionali di istruzione e formazione professionale e dei sistemi regionali che realizzano i percorsi di istruzione e formazione tecnica superiore.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i/>
          <w:iCs/>
          <w:color w:val="000000"/>
          <w:sz w:val="21"/>
          <w:szCs w:val="21"/>
          <w:lang w:eastAsia="it-IT"/>
        </w:rPr>
        <w:t>Ulteriori disposizioni per prevenire il contagio da SARS-CoV-2 in ambito scolastico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Al fine di assicurare l'</w:t>
      </w:r>
      <w:r w:rsidRPr="00B01887">
        <w:rPr>
          <w:rFonts w:ascii="Arial" w:eastAsia="Times New Roman" w:hAnsi="Arial" w:cs="Arial"/>
          <w:b/>
          <w:bCs/>
          <w:color w:val="000000"/>
          <w:sz w:val="21"/>
          <w:szCs w:val="21"/>
          <w:lang w:eastAsia="it-IT"/>
        </w:rPr>
        <w:t>individuazione e il tracciamento dei casi postivi nelle scuole </w:t>
      </w:r>
      <w:r w:rsidRPr="00B01887">
        <w:rPr>
          <w:rFonts w:ascii="Arial" w:eastAsia="Times New Roman" w:hAnsi="Arial" w:cs="Arial"/>
          <w:color w:val="000000"/>
          <w:sz w:val="21"/>
          <w:szCs w:val="21"/>
          <w:lang w:eastAsia="it-IT"/>
        </w:rPr>
        <w:t>di ogni ordine e grado per l'anno scolastico 2021-2022, il Ministero della difesa assicura il supporto a regioni e province autonome, attraverso i laboratori militari della rete di diagnostica molecolare dislocati sul territorio nazionale, nello svolgimento delle attività</w:t>
      </w:r>
    </w:p>
    <w:p w:rsidR="00B01887" w:rsidRPr="00B01887" w:rsidRDefault="00B01887" w:rsidP="00B01887">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di somministrazione di test per la ricerca di SARS-CoV-2</w:t>
      </w:r>
    </w:p>
    <w:p w:rsidR="00B01887" w:rsidRPr="00B01887" w:rsidRDefault="00B01887" w:rsidP="00B01887">
      <w:pPr>
        <w:numPr>
          <w:ilvl w:val="0"/>
          <w:numId w:val="6"/>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correlate di analisi e di refertazione.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Il “</w:t>
      </w:r>
      <w:r w:rsidRPr="00B01887">
        <w:rPr>
          <w:rFonts w:ascii="Arial" w:eastAsia="Times New Roman" w:hAnsi="Arial" w:cs="Arial"/>
          <w:i/>
          <w:iCs/>
          <w:color w:val="000000"/>
          <w:sz w:val="21"/>
          <w:szCs w:val="21"/>
          <w:lang w:eastAsia="it-IT"/>
        </w:rPr>
        <w:t>Fondo per l'emergenza epidemiologica da COVID-19 per l'anno scolastico 2021/2022</w:t>
      </w:r>
      <w:r w:rsidRPr="00B01887">
        <w:rPr>
          <w:rFonts w:ascii="Arial" w:eastAsia="Times New Roman" w:hAnsi="Arial" w:cs="Arial"/>
          <w:color w:val="000000"/>
          <w:sz w:val="21"/>
          <w:szCs w:val="21"/>
          <w:lang w:eastAsia="it-IT"/>
        </w:rPr>
        <w:t>” istituito dal decreto legge 73/21 può essere utilizzato anche per </w:t>
      </w:r>
      <w:r w:rsidRPr="00B01887">
        <w:rPr>
          <w:rFonts w:ascii="Arial" w:eastAsia="Times New Roman" w:hAnsi="Arial" w:cs="Arial"/>
          <w:b/>
          <w:bCs/>
          <w:color w:val="000000"/>
          <w:sz w:val="21"/>
          <w:szCs w:val="21"/>
          <w:lang w:eastAsia="it-IT"/>
        </w:rPr>
        <w:t>l'acquisto di apparecchi di sanificazione, igienizzazione e purificazione dell'aria</w:t>
      </w:r>
      <w:r w:rsidRPr="00B01887">
        <w:rPr>
          <w:rFonts w:ascii="Arial" w:eastAsia="Times New Roman" w:hAnsi="Arial" w:cs="Arial"/>
          <w:color w:val="000000"/>
          <w:sz w:val="21"/>
          <w:szCs w:val="21"/>
          <w:lang w:eastAsia="it-IT"/>
        </w:rPr>
        <w:t> negli ambienti, provvisti di sistemi di filtraggio delle particelle e di distruzione di microrganismi presenti nell'aria.</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Ricordiamo che il </w:t>
      </w:r>
      <w:hyperlink r:id="rId22" w:history="1">
        <w:r w:rsidRPr="00B01887">
          <w:rPr>
            <w:rFonts w:ascii="Arial" w:eastAsia="Times New Roman" w:hAnsi="Arial" w:cs="Arial"/>
            <w:color w:val="005EB3"/>
            <w:sz w:val="21"/>
            <w:szCs w:val="21"/>
            <w:u w:val="single"/>
            <w:lang w:eastAsia="it-IT"/>
          </w:rPr>
          <w:t>decreto-legge 4/22</w:t>
        </w:r>
      </w:hyperlink>
      <w:r w:rsidRPr="00B01887">
        <w:rPr>
          <w:rFonts w:ascii="Arial" w:eastAsia="Times New Roman" w:hAnsi="Arial" w:cs="Arial"/>
          <w:color w:val="000000"/>
          <w:sz w:val="21"/>
          <w:szCs w:val="21"/>
          <w:lang w:eastAsia="it-IT"/>
        </w:rPr>
        <w:t>, in corso di conversione da parte del Parlamento, ha </w:t>
      </w:r>
      <w:r w:rsidRPr="00B01887">
        <w:rPr>
          <w:rFonts w:ascii="Arial" w:eastAsia="Times New Roman" w:hAnsi="Arial" w:cs="Arial"/>
          <w:b/>
          <w:bCs/>
          <w:color w:val="000000"/>
          <w:sz w:val="21"/>
          <w:szCs w:val="21"/>
          <w:lang w:eastAsia="it-IT"/>
        </w:rPr>
        <w:t>incrementato tale Fondo di 45,22 milioni di euro per il 2022</w:t>
      </w:r>
      <w:r w:rsidRPr="00B01887">
        <w:rPr>
          <w:rFonts w:ascii="Arial" w:eastAsia="Times New Roman" w:hAnsi="Arial" w:cs="Arial"/>
          <w:color w:val="000000"/>
          <w:sz w:val="21"/>
          <w:szCs w:val="21"/>
          <w:lang w:eastAsia="it-IT"/>
        </w:rPr>
        <w:t>.</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Entro il 20 marzo 2022</w:t>
      </w:r>
      <w:r w:rsidRPr="00B01887">
        <w:rPr>
          <w:rFonts w:ascii="Arial" w:eastAsia="Times New Roman" w:hAnsi="Arial" w:cs="Arial"/>
          <w:color w:val="000000"/>
          <w:sz w:val="21"/>
          <w:szCs w:val="21"/>
          <w:lang w:eastAsia="it-IT"/>
        </w:rPr>
        <w:t> è previsto l'emanazione di uno </w:t>
      </w:r>
      <w:r w:rsidRPr="00B01887">
        <w:rPr>
          <w:rFonts w:ascii="Arial" w:eastAsia="Times New Roman" w:hAnsi="Arial" w:cs="Arial"/>
          <w:b/>
          <w:bCs/>
          <w:color w:val="000000"/>
          <w:sz w:val="21"/>
          <w:szCs w:val="21"/>
          <w:lang w:eastAsia="it-IT"/>
        </w:rPr>
        <w:t>specifico decreto del Presidente del Consiglio dei ministri</w:t>
      </w:r>
      <w:r w:rsidRPr="00B01887">
        <w:rPr>
          <w:rFonts w:ascii="Arial" w:eastAsia="Times New Roman" w:hAnsi="Arial" w:cs="Arial"/>
          <w:color w:val="000000"/>
          <w:sz w:val="21"/>
          <w:szCs w:val="21"/>
          <w:lang w:eastAsia="it-IT"/>
        </w:rPr>
        <w:t> (su proposta del Ministro della salute e di concerto con il Ministro dell'istruzione) che deve definire</w:t>
      </w:r>
    </w:p>
    <w:p w:rsidR="00B01887" w:rsidRPr="00B01887" w:rsidRDefault="00B01887" w:rsidP="00B01887">
      <w:pPr>
        <w:numPr>
          <w:ilvl w:val="0"/>
          <w:numId w:val="7"/>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le </w:t>
      </w:r>
      <w:r w:rsidRPr="00B01887">
        <w:rPr>
          <w:rFonts w:ascii="Arial" w:eastAsia="Times New Roman" w:hAnsi="Arial" w:cs="Arial"/>
          <w:b/>
          <w:bCs/>
          <w:color w:val="000000"/>
          <w:sz w:val="23"/>
          <w:szCs w:val="23"/>
          <w:lang w:eastAsia="it-IT"/>
        </w:rPr>
        <w:t>linee guida</w:t>
      </w:r>
      <w:r w:rsidRPr="00B01887">
        <w:rPr>
          <w:rFonts w:ascii="Arial" w:eastAsia="Times New Roman" w:hAnsi="Arial" w:cs="Arial"/>
          <w:color w:val="000000"/>
          <w:sz w:val="23"/>
          <w:szCs w:val="23"/>
          <w:lang w:eastAsia="it-IT"/>
        </w:rPr>
        <w:t> sulle specifiche tecniche in merito all’adozione di dispositivi mobili di purificazione e impianti fissi di aerazione</w:t>
      </w:r>
    </w:p>
    <w:p w:rsidR="00B01887" w:rsidRPr="00B01887" w:rsidRDefault="00B01887" w:rsidP="00B01887">
      <w:pPr>
        <w:numPr>
          <w:ilvl w:val="0"/>
          <w:numId w:val="7"/>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gli </w:t>
      </w:r>
      <w:r w:rsidRPr="00B01887">
        <w:rPr>
          <w:rFonts w:ascii="Arial" w:eastAsia="Times New Roman" w:hAnsi="Arial" w:cs="Arial"/>
          <w:b/>
          <w:bCs/>
          <w:color w:val="000000"/>
          <w:sz w:val="23"/>
          <w:szCs w:val="23"/>
          <w:lang w:eastAsia="it-IT"/>
        </w:rPr>
        <w:t>standard minimi di qualità dell’aria</w:t>
      </w:r>
      <w:r w:rsidRPr="00B01887">
        <w:rPr>
          <w:rFonts w:ascii="Arial" w:eastAsia="Times New Roman" w:hAnsi="Arial" w:cs="Arial"/>
          <w:color w:val="000000"/>
          <w:sz w:val="23"/>
          <w:szCs w:val="23"/>
          <w:lang w:eastAsia="it-IT"/>
        </w:rPr>
        <w:t> negli ambienti scolastici e confinati degli stessi edifici</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10" w:name="università_e_afam"/>
      <w:bookmarkEnd w:id="10"/>
      <w:r w:rsidRPr="00B01887">
        <w:rPr>
          <w:rFonts w:ascii="Arial" w:eastAsia="Times New Roman" w:hAnsi="Arial" w:cs="Arial"/>
          <w:b/>
          <w:bCs/>
          <w:i/>
          <w:iCs/>
          <w:color w:val="000000"/>
          <w:sz w:val="21"/>
          <w:szCs w:val="21"/>
          <w:lang w:eastAsia="it-IT"/>
        </w:rPr>
        <w:t xml:space="preserve">Università e </w:t>
      </w:r>
      <w:proofErr w:type="spellStart"/>
      <w:r w:rsidRPr="00B01887">
        <w:rPr>
          <w:rFonts w:ascii="Arial" w:eastAsia="Times New Roman" w:hAnsi="Arial" w:cs="Arial"/>
          <w:b/>
          <w:bCs/>
          <w:i/>
          <w:iCs/>
          <w:color w:val="000000"/>
          <w:sz w:val="21"/>
          <w:szCs w:val="21"/>
          <w:lang w:eastAsia="it-IT"/>
        </w:rPr>
        <w:t>afam</w:t>
      </w:r>
      <w:proofErr w:type="spellEnd"/>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Fino al 31 marzo 2022 chiunque acceda</w:t>
      </w:r>
      <w:r w:rsidRPr="00B01887">
        <w:rPr>
          <w:rFonts w:ascii="Arial" w:eastAsia="Times New Roman" w:hAnsi="Arial" w:cs="Arial"/>
          <w:color w:val="000000"/>
          <w:sz w:val="21"/>
          <w:szCs w:val="21"/>
          <w:lang w:eastAsia="it-IT"/>
        </w:rPr>
        <w:t> alle strutture appartenenti alle istituzioni universitarie e di alta formazione artistica, musicale e coreutica, e alle altre istituzioni di alta formazione collegate alle università, </w:t>
      </w:r>
      <w:r w:rsidRPr="00B01887">
        <w:rPr>
          <w:rFonts w:ascii="Arial" w:eastAsia="Times New Roman" w:hAnsi="Arial" w:cs="Arial"/>
          <w:b/>
          <w:bCs/>
          <w:color w:val="000000"/>
          <w:sz w:val="21"/>
          <w:szCs w:val="21"/>
          <w:lang w:eastAsia="it-IT"/>
        </w:rPr>
        <w:t>compresi gli studenti </w:t>
      </w:r>
      <w:r w:rsidRPr="00B01887">
        <w:rPr>
          <w:rFonts w:ascii="Arial" w:eastAsia="Times New Roman" w:hAnsi="Arial" w:cs="Arial"/>
          <w:color w:val="000000"/>
          <w:sz w:val="21"/>
          <w:szCs w:val="21"/>
          <w:lang w:eastAsia="it-IT"/>
        </w:rPr>
        <w:t>di tali istituzioni, deve possedere ed è tenuto a esibire il </w:t>
      </w:r>
      <w:r w:rsidRPr="00B01887">
        <w:rPr>
          <w:rFonts w:ascii="Arial" w:eastAsia="Times New Roman" w:hAnsi="Arial" w:cs="Arial"/>
          <w:b/>
          <w:bCs/>
          <w:color w:val="000000"/>
          <w:sz w:val="21"/>
          <w:szCs w:val="21"/>
          <w:lang w:eastAsia="it-IT"/>
        </w:rPr>
        <w:t>Green pass base</w:t>
      </w:r>
      <w:r w:rsidRPr="00B01887">
        <w:rPr>
          <w:rFonts w:ascii="Arial" w:eastAsia="Times New Roman" w:hAnsi="Arial" w:cs="Arial"/>
          <w:color w:val="000000"/>
          <w:sz w:val="21"/>
          <w:szCs w:val="21"/>
          <w:lang w:eastAsia="it-IT"/>
        </w:rPr>
        <w:t>.</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Il </w:t>
      </w:r>
      <w:r w:rsidRPr="00B01887">
        <w:rPr>
          <w:rFonts w:ascii="Arial" w:eastAsia="Times New Roman" w:hAnsi="Arial" w:cs="Arial"/>
          <w:b/>
          <w:bCs/>
          <w:color w:val="000000"/>
          <w:sz w:val="21"/>
          <w:szCs w:val="21"/>
          <w:lang w:eastAsia="it-IT"/>
        </w:rPr>
        <w:t>rispetto di tali norme</w:t>
      </w:r>
      <w:r w:rsidRPr="00B01887">
        <w:rPr>
          <w:rFonts w:ascii="Arial" w:eastAsia="Times New Roman" w:hAnsi="Arial" w:cs="Arial"/>
          <w:color w:val="000000"/>
          <w:sz w:val="21"/>
          <w:szCs w:val="21"/>
          <w:lang w:eastAsia="it-IT"/>
        </w:rPr>
        <w:t xml:space="preserve"> è verificato dai responsabili delle </w:t>
      </w:r>
      <w:proofErr w:type="gramStart"/>
      <w:r w:rsidRPr="00B01887">
        <w:rPr>
          <w:rFonts w:ascii="Arial" w:eastAsia="Times New Roman" w:hAnsi="Arial" w:cs="Arial"/>
          <w:color w:val="000000"/>
          <w:sz w:val="21"/>
          <w:szCs w:val="21"/>
          <w:lang w:eastAsia="it-IT"/>
        </w:rPr>
        <w:t>istituzioni  o</w:t>
      </w:r>
      <w:proofErr w:type="gramEnd"/>
      <w:r w:rsidRPr="00B01887">
        <w:rPr>
          <w:rFonts w:ascii="Arial" w:eastAsia="Times New Roman" w:hAnsi="Arial" w:cs="Arial"/>
          <w:color w:val="000000"/>
          <w:sz w:val="21"/>
          <w:szCs w:val="21"/>
          <w:lang w:eastAsia="it-IT"/>
        </w:rPr>
        <w:t xml:space="preserve"> da altro personale da questi a tal fine delegato. Le </w:t>
      </w:r>
      <w:r w:rsidRPr="00B01887">
        <w:rPr>
          <w:rFonts w:ascii="Arial" w:eastAsia="Times New Roman" w:hAnsi="Arial" w:cs="Arial"/>
          <w:b/>
          <w:bCs/>
          <w:color w:val="000000"/>
          <w:sz w:val="21"/>
          <w:szCs w:val="21"/>
          <w:lang w:eastAsia="it-IT"/>
        </w:rPr>
        <w:t>verifiche sono effettuate a campione</w:t>
      </w:r>
      <w:r w:rsidRPr="00B01887">
        <w:rPr>
          <w:rFonts w:ascii="Arial" w:eastAsia="Times New Roman" w:hAnsi="Arial" w:cs="Arial"/>
          <w:color w:val="000000"/>
          <w:sz w:val="21"/>
          <w:szCs w:val="21"/>
          <w:lang w:eastAsia="it-IT"/>
        </w:rPr>
        <w:t xml:space="preserve"> anche utilizzando l'apposita applicazione mobile prevista dall'articolo 13 del DPCM del 17 giugno 2021. Nel caso in cui l'accesso alle strutture sia motivato </w:t>
      </w:r>
      <w:r w:rsidRPr="00B01887">
        <w:rPr>
          <w:rFonts w:ascii="Arial" w:eastAsia="Times New Roman" w:hAnsi="Arial" w:cs="Arial"/>
          <w:color w:val="000000"/>
          <w:sz w:val="21"/>
          <w:szCs w:val="21"/>
          <w:lang w:eastAsia="it-IT"/>
        </w:rPr>
        <w:lastRenderedPageBreak/>
        <w:t>da </w:t>
      </w:r>
      <w:r w:rsidRPr="00B01887">
        <w:rPr>
          <w:rFonts w:ascii="Arial" w:eastAsia="Times New Roman" w:hAnsi="Arial" w:cs="Arial"/>
          <w:b/>
          <w:bCs/>
          <w:color w:val="000000"/>
          <w:sz w:val="21"/>
          <w:szCs w:val="21"/>
          <w:lang w:eastAsia="it-IT"/>
        </w:rPr>
        <w:t>ragioni di servizio o di lavoro</w:t>
      </w:r>
      <w:r w:rsidRPr="00B01887">
        <w:rPr>
          <w:rFonts w:ascii="Arial" w:eastAsia="Times New Roman" w:hAnsi="Arial" w:cs="Arial"/>
          <w:color w:val="000000"/>
          <w:sz w:val="21"/>
          <w:szCs w:val="21"/>
          <w:lang w:eastAsia="it-IT"/>
        </w:rPr>
        <w:t>, la verifica del rispetto delle disposizioni deve essere effettuata, anche a campione, dai rispettivi datori di lavoro o dai loro delegati.</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Nei casi in cui il </w:t>
      </w:r>
      <w:r w:rsidRPr="00B01887">
        <w:rPr>
          <w:rFonts w:ascii="Arial" w:eastAsia="Times New Roman" w:hAnsi="Arial" w:cs="Arial"/>
          <w:b/>
          <w:bCs/>
          <w:color w:val="000000"/>
          <w:sz w:val="21"/>
          <w:szCs w:val="21"/>
          <w:lang w:eastAsia="it-IT"/>
        </w:rPr>
        <w:t xml:space="preserve">green pass base non sia stato generato e non sia stata </w:t>
      </w:r>
      <w:proofErr w:type="gramStart"/>
      <w:r w:rsidRPr="00B01887">
        <w:rPr>
          <w:rFonts w:ascii="Arial" w:eastAsia="Times New Roman" w:hAnsi="Arial" w:cs="Arial"/>
          <w:b/>
          <w:bCs/>
          <w:color w:val="000000"/>
          <w:sz w:val="21"/>
          <w:szCs w:val="21"/>
          <w:lang w:eastAsia="it-IT"/>
        </w:rPr>
        <w:t>rilasciato  in</w:t>
      </w:r>
      <w:proofErr w:type="gramEnd"/>
      <w:r w:rsidRPr="00B01887">
        <w:rPr>
          <w:rFonts w:ascii="Arial" w:eastAsia="Times New Roman" w:hAnsi="Arial" w:cs="Arial"/>
          <w:b/>
          <w:bCs/>
          <w:color w:val="000000"/>
          <w:sz w:val="21"/>
          <w:szCs w:val="21"/>
          <w:lang w:eastAsia="it-IT"/>
        </w:rPr>
        <w:t xml:space="preserve"> formato cartaceo o digitale</w:t>
      </w:r>
      <w:r w:rsidRPr="00B01887">
        <w:rPr>
          <w:rFonts w:ascii="Arial" w:eastAsia="Times New Roman" w:hAnsi="Arial" w:cs="Arial"/>
          <w:color w:val="000000"/>
          <w:sz w:val="21"/>
          <w:szCs w:val="21"/>
          <w:lang w:eastAsia="it-IT"/>
        </w:rPr>
        <w:t>, l'interessato può presentare un certificato rilasciato dalla struttura sanitaria ovvero dall'esercente la professione sanitaria che ha effettuato la vaccinazione o dal proprio medico di medicina generale.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 xml:space="preserve">Rimane l’obbligo vaccinale per il personale universitario e delle istituzioni </w:t>
      </w:r>
      <w:proofErr w:type="spellStart"/>
      <w:r w:rsidRPr="00B01887">
        <w:rPr>
          <w:rFonts w:ascii="Arial" w:eastAsia="Times New Roman" w:hAnsi="Arial" w:cs="Arial"/>
          <w:b/>
          <w:bCs/>
          <w:color w:val="000000"/>
          <w:sz w:val="21"/>
          <w:szCs w:val="21"/>
          <w:lang w:eastAsia="it-IT"/>
        </w:rPr>
        <w:t>afam</w:t>
      </w:r>
      <w:proofErr w:type="spellEnd"/>
      <w:r w:rsidRPr="00B01887">
        <w:rPr>
          <w:rFonts w:ascii="Arial" w:eastAsia="Times New Roman" w:hAnsi="Arial" w:cs="Arial"/>
          <w:b/>
          <w:bCs/>
          <w:color w:val="000000"/>
          <w:sz w:val="21"/>
          <w:szCs w:val="21"/>
          <w:lang w:eastAsia="it-IT"/>
        </w:rPr>
        <w:t>.</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L'ultima sessione delle prove finali per il conseguimento del titolo di studio relative all'anno accademico 2020/2021 è prorogata al 15 giugno 2022</w:t>
      </w:r>
      <w:r w:rsidRPr="00B01887">
        <w:rPr>
          <w:rFonts w:ascii="Arial" w:eastAsia="Times New Roman" w:hAnsi="Arial" w:cs="Arial"/>
          <w:color w:val="000000"/>
          <w:sz w:val="21"/>
          <w:szCs w:val="21"/>
          <w:lang w:eastAsia="it-IT"/>
        </w:rPr>
        <w:t>. È prorogato ogni altro termine connesso ad adempimenti didattici o amministrativi funzionali allo svolgimento di tali prove.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11" w:name="prestazione"/>
      <w:bookmarkEnd w:id="11"/>
      <w:r w:rsidRPr="00B01887">
        <w:rPr>
          <w:rFonts w:ascii="Arial" w:eastAsia="Times New Roman" w:hAnsi="Arial" w:cs="Arial"/>
          <w:b/>
          <w:bCs/>
          <w:i/>
          <w:iCs/>
          <w:color w:val="000000"/>
          <w:sz w:val="21"/>
          <w:szCs w:val="21"/>
          <w:lang w:eastAsia="it-IT"/>
        </w:rPr>
        <w:t>Prestazione lavorativa dei soggetti fragili</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Fino al 31 marzo 2022</w:t>
      </w:r>
      <w:r w:rsidRPr="00B01887">
        <w:rPr>
          <w:rFonts w:ascii="Arial" w:eastAsia="Times New Roman" w:hAnsi="Arial" w:cs="Arial"/>
          <w:color w:val="000000"/>
          <w:sz w:val="21"/>
          <w:szCs w:val="21"/>
          <w:lang w:eastAsia="it-IT"/>
        </w:rPr>
        <w:t> i lavoratori dipendenti pubblici e privati in possesso di </w:t>
      </w:r>
      <w:r w:rsidRPr="00B01887">
        <w:rPr>
          <w:rFonts w:ascii="Arial" w:eastAsia="Times New Roman" w:hAnsi="Arial" w:cs="Arial"/>
          <w:b/>
          <w:bCs/>
          <w:color w:val="000000"/>
          <w:sz w:val="21"/>
          <w:szCs w:val="21"/>
          <w:lang w:eastAsia="it-IT"/>
        </w:rPr>
        <w:t>certificazione rilasciata dai competenti organi medico-legali, attestante una condizione fragilità</w:t>
      </w:r>
      <w:r w:rsidRPr="00B01887">
        <w:rPr>
          <w:rFonts w:ascii="Arial" w:eastAsia="Times New Roman" w:hAnsi="Arial" w:cs="Arial"/>
          <w:color w:val="000000"/>
          <w:sz w:val="21"/>
          <w:szCs w:val="21"/>
          <w:lang w:eastAsia="it-IT"/>
        </w:rPr>
        <w:t> svolgono di norma la prestazione lavorativa in </w:t>
      </w:r>
      <w:r w:rsidRPr="00B01887">
        <w:rPr>
          <w:rFonts w:ascii="Arial" w:eastAsia="Times New Roman" w:hAnsi="Arial" w:cs="Arial"/>
          <w:b/>
          <w:bCs/>
          <w:color w:val="000000"/>
          <w:sz w:val="21"/>
          <w:szCs w:val="21"/>
          <w:lang w:eastAsia="it-IT"/>
        </w:rPr>
        <w:t>modalità agile</w:t>
      </w:r>
      <w:r w:rsidRPr="00B01887">
        <w:rPr>
          <w:rFonts w:ascii="Arial" w:eastAsia="Times New Roman" w:hAnsi="Arial" w:cs="Arial"/>
          <w:color w:val="000000"/>
          <w:sz w:val="21"/>
          <w:szCs w:val="21"/>
          <w:lang w:eastAsia="it-IT"/>
        </w:rPr>
        <w:t>, anche attraverso l'adibizione a diversa mansione ricompresa nella medesima categoria o area di inquadramento, come definite dai contratti collettivi vigenti, o lo svolgimento di specifiche attività di formazione professionale anche da remoto. Per </w:t>
      </w:r>
      <w:r w:rsidRPr="00B01887">
        <w:rPr>
          <w:rFonts w:ascii="Arial" w:eastAsia="Times New Roman" w:hAnsi="Arial" w:cs="Arial"/>
          <w:b/>
          <w:bCs/>
          <w:color w:val="000000"/>
          <w:sz w:val="21"/>
          <w:szCs w:val="21"/>
          <w:lang w:eastAsia="it-IT"/>
        </w:rPr>
        <w:t>lavoratori fragili si intendono</w:t>
      </w:r>
    </w:p>
    <w:p w:rsidR="00B01887" w:rsidRPr="00B01887" w:rsidRDefault="00B01887" w:rsidP="00B01887">
      <w:pPr>
        <w:numPr>
          <w:ilvl w:val="0"/>
          <w:numId w:val="8"/>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 xml:space="preserve">quelli indicati dall'art. 26 comma 2 del decreto legge cura </w:t>
      </w:r>
      <w:proofErr w:type="spellStart"/>
      <w:r w:rsidRPr="00B01887">
        <w:rPr>
          <w:rFonts w:ascii="Arial" w:eastAsia="Times New Roman" w:hAnsi="Arial" w:cs="Arial"/>
          <w:color w:val="000000"/>
          <w:sz w:val="23"/>
          <w:szCs w:val="23"/>
          <w:lang w:eastAsia="it-IT"/>
        </w:rPr>
        <w:t>italia</w:t>
      </w:r>
      <w:proofErr w:type="spellEnd"/>
      <w:r w:rsidRPr="00B01887">
        <w:rPr>
          <w:rFonts w:ascii="Arial" w:eastAsia="Times New Roman" w:hAnsi="Arial" w:cs="Arial"/>
          <w:color w:val="000000"/>
          <w:sz w:val="23"/>
          <w:szCs w:val="23"/>
          <w:lang w:eastAsia="it-IT"/>
        </w:rPr>
        <w:t xml:space="preserve"> (DL 18/20) ossia coloro che sono in possesso di certificazione rilasciata dai competenti organi medico-legali, attestante una condizione di rischio derivante da immunodepressione o da esiti da patologie oncologiche o dallo svolgimento di relative terapie salvavita, inclusi i lavoratori in possesso del riconoscimento di disabilità con connotazione di gravità ai sensi dell'articolo 3, comma 3, della legge 5 febbraio 1992, n. 104</w:t>
      </w:r>
    </w:p>
    <w:p w:rsidR="00B01887" w:rsidRPr="00B01887" w:rsidRDefault="00B01887" w:rsidP="00B01887">
      <w:pPr>
        <w:numPr>
          <w:ilvl w:val="0"/>
          <w:numId w:val="8"/>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quelli indicati dal decreto del ministro del lavoro del 4 febbraio 2022 che individua le patologie croniche con scarso compenso clinico e con particolare connotazione di gravità.</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Alla luce delle modifiche introdotte nella legge di conversione, </w:t>
      </w:r>
      <w:r w:rsidRPr="00B01887">
        <w:rPr>
          <w:rFonts w:ascii="Arial" w:eastAsia="Times New Roman" w:hAnsi="Arial" w:cs="Arial"/>
          <w:b/>
          <w:bCs/>
          <w:color w:val="000000"/>
          <w:sz w:val="21"/>
          <w:szCs w:val="21"/>
          <w:lang w:eastAsia="it-IT"/>
        </w:rPr>
        <w:t>non è chiaro se le due disposizioni coesistano</w:t>
      </w:r>
      <w:r w:rsidRPr="00B01887">
        <w:rPr>
          <w:rFonts w:ascii="Arial" w:eastAsia="Times New Roman" w:hAnsi="Arial" w:cs="Arial"/>
          <w:color w:val="000000"/>
          <w:sz w:val="21"/>
          <w:szCs w:val="21"/>
          <w:lang w:eastAsia="it-IT"/>
        </w:rPr>
        <w:t> oppure se le categorie indicate dal decreto cura Italia si applichino fino al 25 febbraio data di entrata in vigore del Decreto del ministero del lavoro.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Per garantire </w:t>
      </w:r>
      <w:r w:rsidRPr="00B01887">
        <w:rPr>
          <w:rFonts w:ascii="Arial" w:eastAsia="Times New Roman" w:hAnsi="Arial" w:cs="Arial"/>
          <w:b/>
          <w:bCs/>
          <w:color w:val="000000"/>
          <w:sz w:val="21"/>
          <w:szCs w:val="21"/>
          <w:lang w:eastAsia="it-IT"/>
        </w:rPr>
        <w:t>la sostituzione del personale docente, educativo, amministrativo, tecnico ed ausiliario</w:t>
      </w:r>
      <w:r w:rsidRPr="00B01887">
        <w:rPr>
          <w:rFonts w:ascii="Arial" w:eastAsia="Times New Roman" w:hAnsi="Arial" w:cs="Arial"/>
          <w:color w:val="000000"/>
          <w:sz w:val="21"/>
          <w:szCs w:val="21"/>
          <w:lang w:eastAsia="it-IT"/>
        </w:rPr>
        <w:t> delle istituzioni scolastiche che usufruisce di tali benefici è autorizzata la spesa di 68,7 </w:t>
      </w:r>
      <w:r w:rsidRPr="00B01887">
        <w:rPr>
          <w:rFonts w:ascii="Arial" w:eastAsia="Times New Roman" w:hAnsi="Arial" w:cs="Arial"/>
          <w:b/>
          <w:bCs/>
          <w:color w:val="000000"/>
          <w:sz w:val="21"/>
          <w:szCs w:val="21"/>
          <w:lang w:eastAsia="it-IT"/>
        </w:rPr>
        <w:t>milioni di euro per l'anno 2022</w:t>
      </w:r>
      <w:r w:rsidRPr="00B01887">
        <w:rPr>
          <w:rFonts w:ascii="Arial" w:eastAsia="Times New Roman" w:hAnsi="Arial" w:cs="Arial"/>
          <w:color w:val="000000"/>
          <w:sz w:val="21"/>
          <w:szCs w:val="21"/>
          <w:lang w:eastAsia="it-IT"/>
        </w:rPr>
        <w:t>.</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Dal 1° gennaio al 31 marzo 2022 continua ad applicarsi la norma secondo cui ai lavoratori fragili che non possono rendere la prestazione lavorativa in modalità agile il periodo di assenza dal servizio è equiparato al ricovero ospedaliero. Tali periodi di assenza dal servizio non sono computabili ai fini del periodo di comporto.</w:t>
      </w:r>
      <w:r w:rsidRPr="00B01887">
        <w:rPr>
          <w:rFonts w:ascii="Arial" w:eastAsia="Times New Roman" w:hAnsi="Arial" w:cs="Arial"/>
          <w:color w:val="000000"/>
          <w:sz w:val="21"/>
          <w:szCs w:val="21"/>
          <w:lang w:eastAsia="it-IT"/>
        </w:rPr>
        <w:t>  Il periodo di assenza dal servizio deve essere prescritto dalle competenti autorità sanitarie, nonché dal medico di assistenza primaria che ha in carico il paziente, sulla base documentata del riconoscimento di disabilità o delle certificazioni dei competenti organi medico-legali, i cui riferimenti sono riportati, per le verifiche di competenza, nel certificato.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12" w:name="congedi"/>
      <w:bookmarkEnd w:id="12"/>
      <w:r w:rsidRPr="00B01887">
        <w:rPr>
          <w:rFonts w:ascii="Arial" w:eastAsia="Times New Roman" w:hAnsi="Arial" w:cs="Arial"/>
          <w:b/>
          <w:bCs/>
          <w:i/>
          <w:iCs/>
          <w:color w:val="000000"/>
          <w:sz w:val="21"/>
          <w:szCs w:val="21"/>
          <w:lang w:eastAsia="it-IT"/>
        </w:rPr>
        <w:t>Congedi parentali</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Prorogate fino al 31 marzo le norme previste dall’art. 9 del DL 146/21 sul congedo parentale </w:t>
      </w:r>
      <w:r w:rsidRPr="00B01887">
        <w:rPr>
          <w:rFonts w:ascii="Arial" w:eastAsia="Times New Roman" w:hAnsi="Arial" w:cs="Arial"/>
          <w:color w:val="000000"/>
          <w:sz w:val="21"/>
          <w:szCs w:val="21"/>
          <w:lang w:eastAsia="it-IT"/>
        </w:rPr>
        <w:t>straordinario per il genitore di figlio/a convivente </w:t>
      </w:r>
      <w:r w:rsidRPr="00B01887">
        <w:rPr>
          <w:rFonts w:ascii="Arial" w:eastAsia="Times New Roman" w:hAnsi="Arial" w:cs="Arial"/>
          <w:b/>
          <w:bCs/>
          <w:color w:val="000000"/>
          <w:sz w:val="21"/>
          <w:szCs w:val="21"/>
          <w:lang w:eastAsia="it-IT"/>
        </w:rPr>
        <w:t>minore di 14 anni</w:t>
      </w:r>
      <w:r w:rsidRPr="00B01887">
        <w:rPr>
          <w:rFonts w:ascii="Arial" w:eastAsia="Times New Roman" w:hAnsi="Arial" w:cs="Arial"/>
          <w:color w:val="000000"/>
          <w:sz w:val="21"/>
          <w:szCs w:val="21"/>
          <w:lang w:eastAsia="it-IT"/>
        </w:rPr>
        <w:t> </w:t>
      </w:r>
      <w:r w:rsidRPr="00B01887">
        <w:rPr>
          <w:rFonts w:ascii="Arial" w:eastAsia="Times New Roman" w:hAnsi="Arial" w:cs="Arial"/>
          <w:b/>
          <w:bCs/>
          <w:color w:val="000000"/>
          <w:sz w:val="21"/>
          <w:szCs w:val="21"/>
          <w:lang w:eastAsia="it-IT"/>
        </w:rPr>
        <w:t>in caso di sospensione dell’attività didattica</w:t>
      </w:r>
      <w:r w:rsidRPr="00B01887">
        <w:rPr>
          <w:rFonts w:ascii="Arial" w:eastAsia="Times New Roman" w:hAnsi="Arial" w:cs="Arial"/>
          <w:color w:val="000000"/>
          <w:sz w:val="21"/>
          <w:szCs w:val="21"/>
          <w:lang w:eastAsia="it-IT"/>
        </w:rPr>
        <w:t> o educativa in presenza, per </w:t>
      </w:r>
      <w:r w:rsidRPr="00B01887">
        <w:rPr>
          <w:rFonts w:ascii="Arial" w:eastAsia="Times New Roman" w:hAnsi="Arial" w:cs="Arial"/>
          <w:b/>
          <w:bCs/>
          <w:color w:val="000000"/>
          <w:sz w:val="21"/>
          <w:szCs w:val="21"/>
          <w:lang w:eastAsia="it-IT"/>
        </w:rPr>
        <w:t>quarantena disposta dal dipartimento di prevenzione dell’ASL</w:t>
      </w:r>
      <w:r w:rsidRPr="00B01887">
        <w:rPr>
          <w:rFonts w:ascii="Arial" w:eastAsia="Times New Roman" w:hAnsi="Arial" w:cs="Arial"/>
          <w:color w:val="000000"/>
          <w:sz w:val="21"/>
          <w:szCs w:val="21"/>
          <w:lang w:eastAsia="it-IT"/>
        </w:rPr>
        <w:t> territoriale oppure per aver </w:t>
      </w:r>
      <w:r w:rsidRPr="00B01887">
        <w:rPr>
          <w:rFonts w:ascii="Arial" w:eastAsia="Times New Roman" w:hAnsi="Arial" w:cs="Arial"/>
          <w:b/>
          <w:bCs/>
          <w:color w:val="000000"/>
          <w:sz w:val="21"/>
          <w:szCs w:val="21"/>
          <w:lang w:eastAsia="it-IT"/>
        </w:rPr>
        <w:t>contratto infezione da Covid-19.</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Ricordiamo che</w:t>
      </w:r>
    </w:p>
    <w:p w:rsidR="00B01887" w:rsidRPr="00B01887" w:rsidRDefault="00B01887" w:rsidP="00B01887">
      <w:pPr>
        <w:numPr>
          <w:ilvl w:val="0"/>
          <w:numId w:val="9"/>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lastRenderedPageBreak/>
        <w:t>il beneficio è esteso, alle stesse condizioni ma a prescindere dall’età anagrafica, ai genitori di </w:t>
      </w:r>
      <w:r w:rsidRPr="00B01887">
        <w:rPr>
          <w:rFonts w:ascii="Arial" w:eastAsia="Times New Roman" w:hAnsi="Arial" w:cs="Arial"/>
          <w:b/>
          <w:bCs/>
          <w:color w:val="000000"/>
          <w:sz w:val="23"/>
          <w:szCs w:val="23"/>
          <w:lang w:eastAsia="it-IT"/>
        </w:rPr>
        <w:t>figli/e con disabilità grave</w:t>
      </w:r>
      <w:r w:rsidRPr="00B01887">
        <w:rPr>
          <w:rFonts w:ascii="Arial" w:eastAsia="Times New Roman" w:hAnsi="Arial" w:cs="Arial"/>
          <w:color w:val="000000"/>
          <w:sz w:val="23"/>
          <w:szCs w:val="23"/>
          <w:lang w:eastAsia="it-IT"/>
        </w:rPr>
        <w:t> qualora sia soggetto a chiusura il centro diurno a carattere assistenziale frequentato.</w:t>
      </w:r>
    </w:p>
    <w:p w:rsidR="00B01887" w:rsidRPr="00B01887" w:rsidRDefault="00B01887" w:rsidP="00B01887">
      <w:pPr>
        <w:numPr>
          <w:ilvl w:val="0"/>
          <w:numId w:val="9"/>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nei periodi di astensione </w:t>
      </w:r>
      <w:r w:rsidRPr="00B01887">
        <w:rPr>
          <w:rFonts w:ascii="Arial" w:eastAsia="Times New Roman" w:hAnsi="Arial" w:cs="Arial"/>
          <w:b/>
          <w:bCs/>
          <w:color w:val="000000"/>
          <w:sz w:val="23"/>
          <w:szCs w:val="23"/>
          <w:lang w:eastAsia="it-IT"/>
        </w:rPr>
        <w:t>è riconosciuta una indennità pari al 50%</w:t>
      </w:r>
      <w:r w:rsidRPr="00B01887">
        <w:rPr>
          <w:rFonts w:ascii="Arial" w:eastAsia="Times New Roman" w:hAnsi="Arial" w:cs="Arial"/>
          <w:color w:val="000000"/>
          <w:sz w:val="23"/>
          <w:szCs w:val="23"/>
          <w:lang w:eastAsia="it-IT"/>
        </w:rPr>
        <w:t> della retribuzione</w:t>
      </w:r>
    </w:p>
    <w:p w:rsidR="00B01887" w:rsidRPr="00B01887" w:rsidRDefault="00B01887" w:rsidP="00B01887">
      <w:pPr>
        <w:numPr>
          <w:ilvl w:val="0"/>
          <w:numId w:val="9"/>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per </w:t>
      </w:r>
      <w:r w:rsidRPr="00B01887">
        <w:rPr>
          <w:rFonts w:ascii="Arial" w:eastAsia="Times New Roman" w:hAnsi="Arial" w:cs="Arial"/>
          <w:b/>
          <w:bCs/>
          <w:color w:val="000000"/>
          <w:sz w:val="23"/>
          <w:szCs w:val="23"/>
          <w:lang w:eastAsia="it-IT"/>
        </w:rPr>
        <w:t>i figli tra i 14 ai 16 anni </w:t>
      </w:r>
      <w:r w:rsidRPr="00B01887">
        <w:rPr>
          <w:rFonts w:ascii="Arial" w:eastAsia="Times New Roman" w:hAnsi="Arial" w:cs="Arial"/>
          <w:color w:val="000000"/>
          <w:sz w:val="23"/>
          <w:szCs w:val="23"/>
          <w:lang w:eastAsia="it-IT"/>
        </w:rPr>
        <w:t>l’accesso al congedo rimane, </w:t>
      </w:r>
      <w:r w:rsidRPr="00B01887">
        <w:rPr>
          <w:rFonts w:ascii="Arial" w:eastAsia="Times New Roman" w:hAnsi="Arial" w:cs="Arial"/>
          <w:b/>
          <w:bCs/>
          <w:color w:val="000000"/>
          <w:sz w:val="23"/>
          <w:szCs w:val="23"/>
          <w:lang w:eastAsia="it-IT"/>
        </w:rPr>
        <w:t>ma senza corresponsione</w:t>
      </w:r>
      <w:r w:rsidRPr="00B01887">
        <w:rPr>
          <w:rFonts w:ascii="Arial" w:eastAsia="Times New Roman" w:hAnsi="Arial" w:cs="Arial"/>
          <w:color w:val="000000"/>
          <w:sz w:val="23"/>
          <w:szCs w:val="23"/>
          <w:lang w:eastAsia="it-IT"/>
        </w:rPr>
        <w:t> di indennità </w:t>
      </w:r>
      <w:r w:rsidRPr="00B01887">
        <w:rPr>
          <w:rFonts w:ascii="Arial" w:eastAsia="Times New Roman" w:hAnsi="Arial" w:cs="Arial"/>
          <w:b/>
          <w:bCs/>
          <w:color w:val="000000"/>
          <w:sz w:val="23"/>
          <w:szCs w:val="23"/>
          <w:lang w:eastAsia="it-IT"/>
        </w:rPr>
        <w:t>né contribuzione figurativa</w:t>
      </w:r>
      <w:r w:rsidRPr="00B01887">
        <w:rPr>
          <w:rFonts w:ascii="Arial" w:eastAsia="Times New Roman" w:hAnsi="Arial" w:cs="Arial"/>
          <w:color w:val="000000"/>
          <w:sz w:val="23"/>
          <w:szCs w:val="23"/>
          <w:lang w:eastAsia="it-IT"/>
        </w:rPr>
        <w:t> fatti salvi, invece, il divieto di licenziamento e il diritto alla conservazione del posto.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b/>
          <w:bCs/>
          <w:color w:val="000000"/>
          <w:sz w:val="21"/>
          <w:szCs w:val="21"/>
          <w:lang w:eastAsia="it-IT"/>
        </w:rPr>
        <w:t>Per garantire la sostituzione</w:t>
      </w:r>
      <w:r w:rsidRPr="00B01887">
        <w:rPr>
          <w:rFonts w:ascii="Arial" w:eastAsia="Times New Roman" w:hAnsi="Arial" w:cs="Arial"/>
          <w:color w:val="000000"/>
          <w:sz w:val="21"/>
          <w:szCs w:val="21"/>
          <w:lang w:eastAsia="it-IT"/>
        </w:rPr>
        <w:t> del personale docente, educativo e ATA che usufruisce dl questi benefici sono stati stanziati per il 2022 </w:t>
      </w:r>
      <w:r w:rsidRPr="00B01887">
        <w:rPr>
          <w:rFonts w:ascii="Arial" w:eastAsia="Times New Roman" w:hAnsi="Arial" w:cs="Arial"/>
          <w:b/>
          <w:bCs/>
          <w:color w:val="000000"/>
          <w:sz w:val="21"/>
          <w:szCs w:val="21"/>
          <w:lang w:eastAsia="it-IT"/>
        </w:rPr>
        <w:t>7,6 milioni di euro.</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bookmarkStart w:id="13" w:name="propoghe"/>
      <w:bookmarkEnd w:id="13"/>
      <w:r w:rsidRPr="00B01887">
        <w:rPr>
          <w:rFonts w:ascii="Arial" w:eastAsia="Times New Roman" w:hAnsi="Arial" w:cs="Arial"/>
          <w:b/>
          <w:bCs/>
          <w:color w:val="000000"/>
          <w:sz w:val="21"/>
          <w:szCs w:val="21"/>
          <w:lang w:eastAsia="it-IT"/>
        </w:rPr>
        <w:t>Proroghe di disposizioni normative</w:t>
      </w:r>
    </w:p>
    <w:p w:rsidR="00B01887" w:rsidRPr="00B01887" w:rsidRDefault="00B01887" w:rsidP="00B01887">
      <w:pPr>
        <w:shd w:val="clear" w:color="auto" w:fill="FFFFFF"/>
        <w:spacing w:after="225" w:line="240" w:lineRule="auto"/>
        <w:jc w:val="both"/>
        <w:rPr>
          <w:rFonts w:ascii="Arial" w:eastAsia="Times New Roman" w:hAnsi="Arial" w:cs="Arial"/>
          <w:color w:val="000000"/>
          <w:sz w:val="21"/>
          <w:szCs w:val="21"/>
          <w:lang w:eastAsia="it-IT"/>
        </w:rPr>
      </w:pPr>
      <w:r w:rsidRPr="00B01887">
        <w:rPr>
          <w:rFonts w:ascii="Arial" w:eastAsia="Times New Roman" w:hAnsi="Arial" w:cs="Arial"/>
          <w:color w:val="000000"/>
          <w:sz w:val="21"/>
          <w:szCs w:val="21"/>
          <w:lang w:eastAsia="it-IT"/>
        </w:rPr>
        <w:t>Sono </w:t>
      </w:r>
      <w:r w:rsidRPr="00B01887">
        <w:rPr>
          <w:rFonts w:ascii="Arial" w:eastAsia="Times New Roman" w:hAnsi="Arial" w:cs="Arial"/>
          <w:b/>
          <w:bCs/>
          <w:color w:val="000000"/>
          <w:sz w:val="21"/>
          <w:szCs w:val="21"/>
          <w:lang w:eastAsia="it-IT"/>
        </w:rPr>
        <w:t>prorogate al 31 marzo 2022</w:t>
      </w:r>
      <w:r w:rsidRPr="00B01887">
        <w:rPr>
          <w:rFonts w:ascii="Arial" w:eastAsia="Times New Roman" w:hAnsi="Arial" w:cs="Arial"/>
          <w:color w:val="000000"/>
          <w:sz w:val="21"/>
          <w:szCs w:val="21"/>
          <w:lang w:eastAsia="it-IT"/>
        </w:rPr>
        <w:t> le norme relative alle seguenti disposizioni:</w:t>
      </w:r>
    </w:p>
    <w:p w:rsidR="00B01887" w:rsidRPr="00B01887" w:rsidRDefault="00B01887" w:rsidP="00B01887">
      <w:pPr>
        <w:numPr>
          <w:ilvl w:val="0"/>
          <w:numId w:val="10"/>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Le </w:t>
      </w:r>
      <w:r w:rsidRPr="00B01887">
        <w:rPr>
          <w:rFonts w:ascii="Arial" w:eastAsia="Times New Roman" w:hAnsi="Arial" w:cs="Arial"/>
          <w:b/>
          <w:bCs/>
          <w:color w:val="000000"/>
          <w:sz w:val="23"/>
          <w:szCs w:val="23"/>
          <w:lang w:eastAsia="it-IT"/>
        </w:rPr>
        <w:t>sedute degli organi collegiali delle istituzioni scolastiche ed educative</w:t>
      </w:r>
      <w:r w:rsidRPr="00B01887">
        <w:rPr>
          <w:rFonts w:ascii="Arial" w:eastAsia="Times New Roman" w:hAnsi="Arial" w:cs="Arial"/>
          <w:color w:val="000000"/>
          <w:sz w:val="23"/>
          <w:szCs w:val="23"/>
          <w:lang w:eastAsia="it-IT"/>
        </w:rPr>
        <w:t> di ogni ordine e grado possono svolgersi in videoconferenza, anche ove tale modalità non sia stata prevista negli atti regolamentari interni.</w:t>
      </w:r>
    </w:p>
    <w:p w:rsidR="00B01887" w:rsidRPr="00B01887" w:rsidRDefault="00B01887" w:rsidP="00B01887">
      <w:pPr>
        <w:numPr>
          <w:ilvl w:val="0"/>
          <w:numId w:val="10"/>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Il </w:t>
      </w:r>
      <w:r w:rsidRPr="00B01887">
        <w:rPr>
          <w:rFonts w:ascii="Arial" w:eastAsia="Times New Roman" w:hAnsi="Arial" w:cs="Arial"/>
          <w:b/>
          <w:bCs/>
          <w:color w:val="000000"/>
          <w:sz w:val="23"/>
          <w:szCs w:val="23"/>
          <w:lang w:eastAsia="it-IT"/>
        </w:rPr>
        <w:t>Consiglio superiore della pubblica istruzione-CSPI</w:t>
      </w:r>
      <w:r w:rsidRPr="00B01887">
        <w:rPr>
          <w:rFonts w:ascii="Arial" w:eastAsia="Times New Roman" w:hAnsi="Arial" w:cs="Arial"/>
          <w:color w:val="000000"/>
          <w:sz w:val="23"/>
          <w:szCs w:val="23"/>
          <w:lang w:eastAsia="it-IT"/>
        </w:rPr>
        <w:t> rende il proprio parere nel termine di sette giorni dalla richiesta da parte del Ministro dell'istruzione. Decorso il termine di sette giorni, si può prescindere dal parere.</w:t>
      </w:r>
    </w:p>
    <w:p w:rsidR="00B01887" w:rsidRPr="00B01887" w:rsidRDefault="00B01887" w:rsidP="00B01887">
      <w:pPr>
        <w:numPr>
          <w:ilvl w:val="0"/>
          <w:numId w:val="10"/>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La </w:t>
      </w:r>
      <w:r w:rsidRPr="00B01887">
        <w:rPr>
          <w:rFonts w:ascii="Arial" w:eastAsia="Times New Roman" w:hAnsi="Arial" w:cs="Arial"/>
          <w:b/>
          <w:bCs/>
          <w:color w:val="000000"/>
          <w:sz w:val="23"/>
          <w:szCs w:val="23"/>
          <w:lang w:eastAsia="it-IT"/>
        </w:rPr>
        <w:t>sorveglianza sanitaria eccezionale</w:t>
      </w:r>
      <w:r w:rsidRPr="00B01887">
        <w:rPr>
          <w:rFonts w:ascii="Arial" w:eastAsia="Times New Roman" w:hAnsi="Arial" w:cs="Arial"/>
          <w:color w:val="000000"/>
          <w:sz w:val="23"/>
          <w:szCs w:val="23"/>
          <w:lang w:eastAsia="it-IT"/>
        </w:rPr>
        <w:t> di cui all’art. 83 del D.L. 34/20.</w:t>
      </w:r>
    </w:p>
    <w:p w:rsidR="00B01887" w:rsidRPr="00B01887" w:rsidRDefault="00B01887" w:rsidP="00B01887">
      <w:pPr>
        <w:numPr>
          <w:ilvl w:val="0"/>
          <w:numId w:val="10"/>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Riguardo ai </w:t>
      </w:r>
      <w:r w:rsidRPr="00B01887">
        <w:rPr>
          <w:rFonts w:ascii="Arial" w:eastAsia="Times New Roman" w:hAnsi="Arial" w:cs="Arial"/>
          <w:b/>
          <w:bCs/>
          <w:color w:val="000000"/>
          <w:sz w:val="23"/>
          <w:szCs w:val="23"/>
          <w:lang w:eastAsia="it-IT"/>
        </w:rPr>
        <w:t>concorsi pubblici</w:t>
      </w:r>
      <w:r w:rsidRPr="00B01887">
        <w:rPr>
          <w:rFonts w:ascii="Arial" w:eastAsia="Times New Roman" w:hAnsi="Arial" w:cs="Arial"/>
          <w:color w:val="000000"/>
          <w:sz w:val="23"/>
          <w:szCs w:val="23"/>
          <w:lang w:eastAsia="it-IT"/>
        </w:rPr>
        <w:t>, in ragione del numero di partecipanti:</w:t>
      </w:r>
    </w:p>
    <w:p w:rsidR="00B01887" w:rsidRPr="00B01887" w:rsidRDefault="00B01887" w:rsidP="00B01887">
      <w:pPr>
        <w:numPr>
          <w:ilvl w:val="1"/>
          <w:numId w:val="10"/>
        </w:numPr>
        <w:shd w:val="clear" w:color="auto" w:fill="FFFFFF"/>
        <w:spacing w:after="150" w:line="240" w:lineRule="auto"/>
        <w:ind w:left="150"/>
        <w:rPr>
          <w:rFonts w:ascii="Arial" w:eastAsia="Times New Roman" w:hAnsi="Arial" w:cs="Arial"/>
          <w:color w:val="000000"/>
          <w:sz w:val="23"/>
          <w:szCs w:val="23"/>
          <w:lang w:eastAsia="it-IT"/>
        </w:rPr>
      </w:pPr>
      <w:r w:rsidRPr="00B01887">
        <w:rPr>
          <w:rFonts w:ascii="Arial" w:eastAsia="Times New Roman" w:hAnsi="Arial" w:cs="Arial"/>
          <w:b/>
          <w:bCs/>
          <w:color w:val="000000"/>
          <w:sz w:val="23"/>
          <w:szCs w:val="23"/>
          <w:lang w:eastAsia="it-IT"/>
        </w:rPr>
        <w:t>l'utilizzo di sedi decentrate e la non</w:t>
      </w:r>
      <w:r w:rsidRPr="00B01887">
        <w:rPr>
          <w:rFonts w:ascii="Arial" w:eastAsia="Times New Roman" w:hAnsi="Arial" w:cs="Arial"/>
          <w:color w:val="000000"/>
          <w:sz w:val="23"/>
          <w:szCs w:val="23"/>
          <w:lang w:eastAsia="it-IT"/>
        </w:rPr>
        <w:t> contestualità delle prove</w:t>
      </w:r>
    </w:p>
    <w:p w:rsidR="00B01887" w:rsidRPr="00B01887" w:rsidRDefault="00B01887" w:rsidP="00B01887">
      <w:pPr>
        <w:numPr>
          <w:ilvl w:val="1"/>
          <w:numId w:val="10"/>
        </w:numPr>
        <w:shd w:val="clear" w:color="auto" w:fill="FFFFFF"/>
        <w:spacing w:after="150" w:line="240" w:lineRule="auto"/>
        <w:ind w:left="150"/>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l'</w:t>
      </w:r>
      <w:r w:rsidRPr="00B01887">
        <w:rPr>
          <w:rFonts w:ascii="Arial" w:eastAsia="Times New Roman" w:hAnsi="Arial" w:cs="Arial"/>
          <w:b/>
          <w:bCs/>
          <w:color w:val="000000"/>
          <w:sz w:val="23"/>
          <w:szCs w:val="23"/>
          <w:lang w:eastAsia="it-IT"/>
        </w:rPr>
        <w:t>utilizzo degli strumenti informatici </w:t>
      </w:r>
      <w:r w:rsidRPr="00B01887">
        <w:rPr>
          <w:rFonts w:ascii="Arial" w:eastAsia="Times New Roman" w:hAnsi="Arial" w:cs="Arial"/>
          <w:color w:val="000000"/>
          <w:sz w:val="23"/>
          <w:szCs w:val="23"/>
          <w:lang w:eastAsia="it-IT"/>
        </w:rPr>
        <w:t>e digitali</w:t>
      </w:r>
    </w:p>
    <w:p w:rsidR="00B01887" w:rsidRPr="00B01887" w:rsidRDefault="00B01887" w:rsidP="00B01887">
      <w:pPr>
        <w:numPr>
          <w:ilvl w:val="1"/>
          <w:numId w:val="10"/>
        </w:numPr>
        <w:shd w:val="clear" w:color="auto" w:fill="FFFFFF"/>
        <w:spacing w:after="150" w:line="240" w:lineRule="auto"/>
        <w:ind w:left="150"/>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l'espletamento di una </w:t>
      </w:r>
      <w:r w:rsidRPr="00B01887">
        <w:rPr>
          <w:rFonts w:ascii="Arial" w:eastAsia="Times New Roman" w:hAnsi="Arial" w:cs="Arial"/>
          <w:b/>
          <w:bCs/>
          <w:color w:val="000000"/>
          <w:sz w:val="23"/>
          <w:szCs w:val="23"/>
          <w:lang w:eastAsia="it-IT"/>
        </w:rPr>
        <w:t>sola prova scritta e di una eventuale prova orale</w:t>
      </w:r>
      <w:r w:rsidRPr="00B01887">
        <w:rPr>
          <w:rFonts w:ascii="Arial" w:eastAsia="Times New Roman" w:hAnsi="Arial" w:cs="Arial"/>
          <w:color w:val="000000"/>
          <w:sz w:val="23"/>
          <w:szCs w:val="23"/>
          <w:lang w:eastAsia="it-IT"/>
        </w:rPr>
        <w:t>.</w:t>
      </w:r>
    </w:p>
    <w:p w:rsidR="00B01887" w:rsidRPr="00B01887" w:rsidRDefault="00B01887" w:rsidP="00B01887">
      <w:pPr>
        <w:numPr>
          <w:ilvl w:val="0"/>
          <w:numId w:val="10"/>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In tutte le </w:t>
      </w:r>
      <w:r w:rsidRPr="00B01887">
        <w:rPr>
          <w:rFonts w:ascii="Arial" w:eastAsia="Times New Roman" w:hAnsi="Arial" w:cs="Arial"/>
          <w:b/>
          <w:bCs/>
          <w:color w:val="000000"/>
          <w:sz w:val="23"/>
          <w:szCs w:val="23"/>
          <w:lang w:eastAsia="it-IT"/>
        </w:rPr>
        <w:t>istituzioni educative, scolastiche e universitarie:</w:t>
      </w:r>
    </w:p>
    <w:p w:rsidR="00B01887" w:rsidRPr="00B01887" w:rsidRDefault="00B01887" w:rsidP="00B01887">
      <w:pPr>
        <w:numPr>
          <w:ilvl w:val="1"/>
          <w:numId w:val="10"/>
        </w:numPr>
        <w:shd w:val="clear" w:color="auto" w:fill="FFFFFF"/>
        <w:spacing w:after="150" w:line="240" w:lineRule="auto"/>
        <w:ind w:left="150"/>
        <w:rPr>
          <w:rFonts w:ascii="Arial" w:eastAsia="Times New Roman" w:hAnsi="Arial" w:cs="Arial"/>
          <w:color w:val="000000"/>
          <w:sz w:val="23"/>
          <w:szCs w:val="23"/>
          <w:lang w:eastAsia="it-IT"/>
        </w:rPr>
      </w:pPr>
      <w:r w:rsidRPr="00B01887">
        <w:rPr>
          <w:rFonts w:ascii="Arial" w:eastAsia="Times New Roman" w:hAnsi="Arial" w:cs="Arial"/>
          <w:b/>
          <w:bCs/>
          <w:color w:val="000000"/>
          <w:sz w:val="23"/>
          <w:szCs w:val="23"/>
          <w:lang w:eastAsia="it-IT"/>
        </w:rPr>
        <w:t>è obbligatorio utilizzo dei dispositivi di protezione delle vie respiratorie</w:t>
      </w:r>
      <w:r w:rsidRPr="00B01887">
        <w:rPr>
          <w:rFonts w:ascii="Arial" w:eastAsia="Times New Roman" w:hAnsi="Arial" w:cs="Arial"/>
          <w:color w:val="000000"/>
          <w:sz w:val="23"/>
          <w:szCs w:val="23"/>
          <w:lang w:eastAsia="it-IT"/>
        </w:rPr>
        <w:t>, fatta eccezione per i bambini che frequentano i servizi educativi per l’infanzia di cui all’articolo 2 del decreto legislativo 13 aprile 2017, n. 65, e la scuola dell’infanzia, per i soggetti con patologie o disabilità incompatibili con l'uso dei predetti dispositivi e per lo svolgimento delle attività sportive;</w:t>
      </w:r>
    </w:p>
    <w:p w:rsidR="00B01887" w:rsidRPr="00B01887" w:rsidRDefault="00B01887" w:rsidP="00B01887">
      <w:pPr>
        <w:numPr>
          <w:ilvl w:val="1"/>
          <w:numId w:val="10"/>
        </w:numPr>
        <w:shd w:val="clear" w:color="auto" w:fill="FFFFFF"/>
        <w:spacing w:after="150" w:line="240" w:lineRule="auto"/>
        <w:ind w:left="150"/>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sulla base della valutazione del rischio e al fine di prevenire la diffusione dell’infezione da SARS-CoV-2, </w:t>
      </w:r>
      <w:r w:rsidRPr="00B01887">
        <w:rPr>
          <w:rFonts w:ascii="Arial" w:eastAsia="Times New Roman" w:hAnsi="Arial" w:cs="Arial"/>
          <w:b/>
          <w:bCs/>
          <w:color w:val="000000"/>
          <w:sz w:val="23"/>
          <w:szCs w:val="23"/>
          <w:lang w:eastAsia="it-IT"/>
        </w:rPr>
        <w:t>al personale preposto alle attività scolastiche e didattiche dove sono presenti bambini, alunni e studenti esonerati dall’obbligo di utilizzo dei dispositivi di protezione delle vie respiratorie, è assicurata la fornitura di mascherine di tipo FFP2 o FFP3;</w:t>
      </w:r>
    </w:p>
    <w:p w:rsidR="00B01887" w:rsidRPr="00B01887" w:rsidRDefault="00B01887" w:rsidP="00B01887">
      <w:pPr>
        <w:numPr>
          <w:ilvl w:val="1"/>
          <w:numId w:val="10"/>
        </w:numPr>
        <w:shd w:val="clear" w:color="auto" w:fill="FFFFFF"/>
        <w:spacing w:after="150" w:line="240" w:lineRule="auto"/>
        <w:ind w:left="150"/>
        <w:rPr>
          <w:rFonts w:ascii="Arial" w:eastAsia="Times New Roman" w:hAnsi="Arial" w:cs="Arial"/>
          <w:color w:val="000000"/>
          <w:sz w:val="23"/>
          <w:szCs w:val="23"/>
          <w:lang w:eastAsia="it-IT"/>
        </w:rPr>
      </w:pPr>
      <w:r w:rsidRPr="00B01887">
        <w:rPr>
          <w:rFonts w:ascii="Arial" w:eastAsia="Times New Roman" w:hAnsi="Arial" w:cs="Arial"/>
          <w:b/>
          <w:bCs/>
          <w:color w:val="000000"/>
          <w:sz w:val="23"/>
          <w:szCs w:val="23"/>
          <w:lang w:eastAsia="it-IT"/>
        </w:rPr>
        <w:t>è raccomandato il rispetto di una distanza di sicurezza interpersonale di almeno un metro </w:t>
      </w:r>
      <w:r w:rsidRPr="00B01887">
        <w:rPr>
          <w:rFonts w:ascii="Arial" w:eastAsia="Times New Roman" w:hAnsi="Arial" w:cs="Arial"/>
          <w:color w:val="000000"/>
          <w:sz w:val="23"/>
          <w:szCs w:val="23"/>
          <w:lang w:eastAsia="it-IT"/>
        </w:rPr>
        <w:t>salvo che le condizioni strutturali-logistiche degli edifici non lo consentano;</w:t>
      </w:r>
    </w:p>
    <w:p w:rsidR="00B01887" w:rsidRPr="00B01887" w:rsidRDefault="00B01887" w:rsidP="00B01887">
      <w:pPr>
        <w:numPr>
          <w:ilvl w:val="1"/>
          <w:numId w:val="10"/>
        </w:numPr>
        <w:shd w:val="clear" w:color="auto" w:fill="FFFFFF"/>
        <w:spacing w:after="150" w:line="240" w:lineRule="auto"/>
        <w:ind w:left="150"/>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è fatto </w:t>
      </w:r>
      <w:r w:rsidRPr="00B01887">
        <w:rPr>
          <w:rFonts w:ascii="Arial" w:eastAsia="Times New Roman" w:hAnsi="Arial" w:cs="Arial"/>
          <w:b/>
          <w:bCs/>
          <w:color w:val="000000"/>
          <w:sz w:val="23"/>
          <w:szCs w:val="23"/>
          <w:lang w:eastAsia="it-IT"/>
        </w:rPr>
        <w:t>divieto di accedere</w:t>
      </w:r>
      <w:r w:rsidRPr="00B01887">
        <w:rPr>
          <w:rFonts w:ascii="Arial" w:eastAsia="Times New Roman" w:hAnsi="Arial" w:cs="Arial"/>
          <w:color w:val="000000"/>
          <w:sz w:val="23"/>
          <w:szCs w:val="23"/>
          <w:lang w:eastAsia="it-IT"/>
        </w:rPr>
        <w:t> o permanere nei locali scolastici e universitari ai soggetti con </w:t>
      </w:r>
      <w:r w:rsidRPr="00B01887">
        <w:rPr>
          <w:rFonts w:ascii="Arial" w:eastAsia="Times New Roman" w:hAnsi="Arial" w:cs="Arial"/>
          <w:b/>
          <w:bCs/>
          <w:color w:val="000000"/>
          <w:sz w:val="23"/>
          <w:szCs w:val="23"/>
          <w:lang w:eastAsia="it-IT"/>
        </w:rPr>
        <w:t>sintomatologia respiratoria o temperatura corporea superiore a 37,5°.</w:t>
      </w:r>
    </w:p>
    <w:p w:rsidR="00B01887" w:rsidRPr="00B01887" w:rsidRDefault="00B01887" w:rsidP="00B01887">
      <w:pPr>
        <w:numPr>
          <w:ilvl w:val="0"/>
          <w:numId w:val="11"/>
        </w:numPr>
        <w:shd w:val="clear" w:color="auto" w:fill="FFFFFF"/>
        <w:spacing w:after="150" w:line="240" w:lineRule="auto"/>
        <w:ind w:left="75"/>
        <w:rPr>
          <w:rFonts w:ascii="Arial" w:eastAsia="Times New Roman" w:hAnsi="Arial" w:cs="Arial"/>
          <w:color w:val="000000"/>
          <w:sz w:val="23"/>
          <w:szCs w:val="23"/>
          <w:lang w:eastAsia="it-IT"/>
        </w:rPr>
      </w:pPr>
      <w:r w:rsidRPr="00B01887">
        <w:rPr>
          <w:rFonts w:ascii="Arial" w:eastAsia="Times New Roman" w:hAnsi="Arial" w:cs="Arial"/>
          <w:color w:val="000000"/>
          <w:sz w:val="23"/>
          <w:szCs w:val="23"/>
          <w:lang w:eastAsia="it-IT"/>
        </w:rPr>
        <w:t>I Presidenti delle regioni e delle province autonome di Trento e di Bolzano e i Sindaci possono derogare alle norme sulle attività scolastiche in presenza, esclusivamente in zona rossa e in circostanze di eccezionale e straordinaria necessità dovuta all'insorgenza di focolai o al rischio estremamente elevato di diffusione del virus SARS-CoV-2 o di sue varianti nella popolazione scolastica.</w:t>
      </w:r>
    </w:p>
    <w:p w:rsidR="00337954" w:rsidRDefault="00337954"/>
    <w:sectPr w:rsidR="003379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6669"/>
    <w:multiLevelType w:val="multilevel"/>
    <w:tmpl w:val="22EA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42B43"/>
    <w:multiLevelType w:val="multilevel"/>
    <w:tmpl w:val="A498E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14B3A"/>
    <w:multiLevelType w:val="multilevel"/>
    <w:tmpl w:val="80E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C4F6A"/>
    <w:multiLevelType w:val="multilevel"/>
    <w:tmpl w:val="AC9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6650F"/>
    <w:multiLevelType w:val="multilevel"/>
    <w:tmpl w:val="7EBA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D7136"/>
    <w:multiLevelType w:val="multilevel"/>
    <w:tmpl w:val="0D2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0284C"/>
    <w:multiLevelType w:val="multilevel"/>
    <w:tmpl w:val="4E3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06B21"/>
    <w:multiLevelType w:val="multilevel"/>
    <w:tmpl w:val="32E2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2534A"/>
    <w:multiLevelType w:val="multilevel"/>
    <w:tmpl w:val="1B52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A0E7C"/>
    <w:multiLevelType w:val="multilevel"/>
    <w:tmpl w:val="C6A8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D0C15"/>
    <w:multiLevelType w:val="multilevel"/>
    <w:tmpl w:val="6C68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9"/>
  </w:num>
  <w:num w:numId="5">
    <w:abstractNumId w:val="5"/>
  </w:num>
  <w:num w:numId="6">
    <w:abstractNumId w:val="10"/>
  </w:num>
  <w:num w:numId="7">
    <w:abstractNumId w:val="0"/>
  </w:num>
  <w:num w:numId="8">
    <w:abstractNumId w:val="7"/>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87"/>
    <w:rsid w:val="00337954"/>
    <w:rsid w:val="00B01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74624-B6B9-4A5C-ACFB-5BE7469D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459420">
      <w:bodyDiv w:val="1"/>
      <w:marLeft w:val="0"/>
      <w:marRight w:val="0"/>
      <w:marTop w:val="0"/>
      <w:marBottom w:val="0"/>
      <w:divBdr>
        <w:top w:val="none" w:sz="0" w:space="0" w:color="auto"/>
        <w:left w:val="none" w:sz="0" w:space="0" w:color="auto"/>
        <w:bottom w:val="none" w:sz="0" w:space="0" w:color="auto"/>
        <w:right w:val="none" w:sz="0" w:space="0" w:color="auto"/>
      </w:divBdr>
      <w:divsChild>
        <w:div w:id="1688215234">
          <w:marLeft w:val="0"/>
          <w:marRight w:val="0"/>
          <w:marTop w:val="150"/>
          <w:marBottom w:val="150"/>
          <w:divBdr>
            <w:top w:val="none" w:sz="0" w:space="0" w:color="auto"/>
            <w:left w:val="none" w:sz="0" w:space="0" w:color="auto"/>
            <w:bottom w:val="single" w:sz="6" w:space="0" w:color="CCCCCC"/>
            <w:right w:val="none" w:sz="0" w:space="0" w:color="auto"/>
          </w:divBdr>
          <w:divsChild>
            <w:div w:id="453603709">
              <w:marLeft w:val="0"/>
              <w:marRight w:val="0"/>
              <w:marTop w:val="0"/>
              <w:marBottom w:val="0"/>
              <w:divBdr>
                <w:top w:val="none" w:sz="0" w:space="0" w:color="auto"/>
                <w:left w:val="none" w:sz="0" w:space="0" w:color="auto"/>
                <w:bottom w:val="none" w:sz="0" w:space="0" w:color="auto"/>
                <w:right w:val="none" w:sz="0" w:space="0" w:color="auto"/>
              </w:divBdr>
            </w:div>
          </w:divsChild>
        </w:div>
        <w:div w:id="465008563">
          <w:marLeft w:val="0"/>
          <w:marRight w:val="0"/>
          <w:marTop w:val="0"/>
          <w:marBottom w:val="0"/>
          <w:divBdr>
            <w:top w:val="none" w:sz="0" w:space="0" w:color="auto"/>
            <w:left w:val="none" w:sz="0" w:space="0" w:color="auto"/>
            <w:bottom w:val="none" w:sz="0" w:space="0" w:color="auto"/>
            <w:right w:val="none" w:sz="0" w:space="0" w:color="auto"/>
          </w:divBdr>
          <w:divsChild>
            <w:div w:id="2060545741">
              <w:marLeft w:val="0"/>
              <w:marRight w:val="0"/>
              <w:marTop w:val="0"/>
              <w:marBottom w:val="0"/>
              <w:divBdr>
                <w:top w:val="none" w:sz="0" w:space="0" w:color="auto"/>
                <w:left w:val="none" w:sz="0" w:space="0" w:color="auto"/>
                <w:bottom w:val="none" w:sz="0" w:space="0" w:color="auto"/>
                <w:right w:val="none" w:sz="0" w:space="0" w:color="auto"/>
              </w:divBdr>
            </w:div>
            <w:div w:id="1704868899">
              <w:marLeft w:val="300"/>
              <w:marRight w:val="150"/>
              <w:marTop w:val="75"/>
              <w:marBottom w:val="0"/>
              <w:divBdr>
                <w:top w:val="none" w:sz="0" w:space="0" w:color="auto"/>
                <w:left w:val="none" w:sz="0" w:space="0" w:color="auto"/>
                <w:bottom w:val="none" w:sz="0" w:space="0" w:color="auto"/>
                <w:right w:val="none" w:sz="0" w:space="0" w:color="auto"/>
              </w:divBdr>
            </w:div>
            <w:div w:id="314728162">
              <w:marLeft w:val="300"/>
              <w:marRight w:val="150"/>
              <w:marTop w:val="75"/>
              <w:marBottom w:val="0"/>
              <w:divBdr>
                <w:top w:val="none" w:sz="0" w:space="0" w:color="auto"/>
                <w:left w:val="none" w:sz="0" w:space="0" w:color="auto"/>
                <w:bottom w:val="none" w:sz="0" w:space="0" w:color="auto"/>
                <w:right w:val="none" w:sz="0" w:space="0" w:color="auto"/>
              </w:divBdr>
            </w:div>
          </w:divsChild>
        </w:div>
        <w:div w:id="1741979608">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cgil.it/attualita/sindacato/convertito-in-legge-il-decreto-che-ha-prorogato-dello-stato-di-emergenza-sintesi-dei-contenuti-e-ricadute-sui-settori-della-conoscenza.flc" TargetMode="External"/><Relationship Id="rId13" Type="http://schemas.openxmlformats.org/officeDocument/2006/relationships/hyperlink" Target="http://www.flcgil.it/attualita/sindacato/convertito-in-legge-il-decreto-che-ha-prorogato-dello-stato-di-emergenza-sintesi-dei-contenuti-e-ricadute-sui-settori-della-conoscenza.flc" TargetMode="External"/><Relationship Id="rId18" Type="http://schemas.openxmlformats.org/officeDocument/2006/relationships/hyperlink" Target="http://www.flcgil.it/attualita/sindacato/convertito-in-legge-il-decreto-che-ha-prorogato-dello-stato-di-emergenza-sintesi-dei-contenuti-e-ricadute-sui-settori-della-conoscenza.flc" TargetMode="External"/><Relationship Id="rId3" Type="http://schemas.openxmlformats.org/officeDocument/2006/relationships/settings" Target="settings.xml"/><Relationship Id="rId21" Type="http://schemas.openxmlformats.org/officeDocument/2006/relationships/hyperlink" Target="http://www.gazzettaufficiale.it/eli/id/2022/02/04/22G00014/sg" TargetMode="External"/><Relationship Id="rId7" Type="http://schemas.openxmlformats.org/officeDocument/2006/relationships/hyperlink" Target="http://www.flcgil.it/attualita/sindacato/convertito-in-legge-il-decreto-che-ha-prorogato-dello-stato-di-emergenza-sintesi-dei-contenuti-e-ricadute-sui-settori-della-conoscenza.flc" TargetMode="External"/><Relationship Id="rId12" Type="http://schemas.openxmlformats.org/officeDocument/2006/relationships/hyperlink" Target="http://www.flcgil.it/attualita/sindacato/convertito-in-legge-il-decreto-che-ha-prorogato-dello-stato-di-emergenza-sintesi-dei-contenuti-e-ricadute-sui-settori-della-conoscenza.flc" TargetMode="External"/><Relationship Id="rId17" Type="http://schemas.openxmlformats.org/officeDocument/2006/relationships/hyperlink" Target="http://www.flcgil.it/attualita/sindacato/convertito-in-legge-il-decreto-che-ha-prorogato-dello-stato-di-emergenza-sintesi-dei-contenuti-e-ricadute-sui-settori-della-conoscenza.flc" TargetMode="External"/><Relationship Id="rId2" Type="http://schemas.openxmlformats.org/officeDocument/2006/relationships/styles" Target="styles.xml"/><Relationship Id="rId16" Type="http://schemas.openxmlformats.org/officeDocument/2006/relationships/hyperlink" Target="http://www.flcgil.it/attualita/sindacato/convertito-in-legge-il-decreto-che-ha-prorogato-dello-stato-di-emergenza-sintesi-dei-contenuti-e-ricadute-sui-settori-della-conoscenza.flc" TargetMode="External"/><Relationship Id="rId20" Type="http://schemas.openxmlformats.org/officeDocument/2006/relationships/hyperlink" Target="http://www.flcgil.it/attualita/sindacato/convertito-in-legge-il-decreto-che-ha-prorogato-dello-stato-di-emergenza-sintesi-dei-contenuti-e-ricadute-sui-settori-della-conoscenza.flc" TargetMode="External"/><Relationship Id="rId1" Type="http://schemas.openxmlformats.org/officeDocument/2006/relationships/numbering" Target="numbering.xml"/><Relationship Id="rId6" Type="http://schemas.openxmlformats.org/officeDocument/2006/relationships/hyperlink" Target="http://www.flcgil.it/leggi-normative/documenti/leggi/legge-11-del-18-febbraio-2022-conversione-del-decreto-legge-221-del-24-dicembre-2021-proroga-dello-stato-di-emergenza-nazionale-e-ulteriori-misure-per-il-contenimento-della-diffusione-dell-epidemia-da-covid-19.flc" TargetMode="External"/><Relationship Id="rId11" Type="http://schemas.openxmlformats.org/officeDocument/2006/relationships/hyperlink" Target="http://www.flcgil.it/attualita/sindacato/convertito-in-legge-il-decreto-che-ha-prorogato-dello-stato-di-emergenza-sintesi-dei-contenuti-e-ricadute-sui-settori-della-conoscenza.flc" TargetMode="External"/><Relationship Id="rId24" Type="http://schemas.openxmlformats.org/officeDocument/2006/relationships/theme" Target="theme/theme1.xml"/><Relationship Id="rId5" Type="http://schemas.openxmlformats.org/officeDocument/2006/relationships/hyperlink" Target="http://www.flcgil.it/leggi-normative/documenti/leggi/legge-11-del-18-febbraio-2022-conversione-del-decreto-legge-221-del-24-dicembre-2021-proroga-dello-stato-di-emergenza-nazionale-e-ulteriori-misure-per-il-contenimento-della-diffusione-dell-epidemia-da-covid-19.flc" TargetMode="External"/><Relationship Id="rId15" Type="http://schemas.openxmlformats.org/officeDocument/2006/relationships/hyperlink" Target="http://www.flcgil.it/attualita/sindacato/convertito-in-legge-il-decreto-che-ha-prorogato-dello-stato-di-emergenza-sintesi-dei-contenuti-e-ricadute-sui-settori-della-conoscenza.flc" TargetMode="External"/><Relationship Id="rId23" Type="http://schemas.openxmlformats.org/officeDocument/2006/relationships/fontTable" Target="fontTable.xml"/><Relationship Id="rId10" Type="http://schemas.openxmlformats.org/officeDocument/2006/relationships/hyperlink" Target="http://www.flcgil.it/attualita/sindacato/convertito-in-legge-il-decreto-che-ha-prorogato-dello-stato-di-emergenza-sintesi-dei-contenuti-e-ricadute-sui-settori-della-conoscenza.flc" TargetMode="External"/><Relationship Id="rId19" Type="http://schemas.openxmlformats.org/officeDocument/2006/relationships/hyperlink" Target="http://www.flcgil.it/attualita/sindacato/convertito-in-legge-il-decreto-che-ha-prorogato-dello-stato-di-emergenza-sintesi-dei-contenuti-e-ricadute-sui-settori-della-conoscenza.flc" TargetMode="External"/><Relationship Id="rId4" Type="http://schemas.openxmlformats.org/officeDocument/2006/relationships/webSettings" Target="webSettings.xml"/><Relationship Id="rId9" Type="http://schemas.openxmlformats.org/officeDocument/2006/relationships/hyperlink" Target="http://www.flcgil.it/attualita/sindacato/convertito-in-legge-il-decreto-che-ha-prorogato-dello-stato-di-emergenza-sintesi-dei-contenuti-e-ricadute-sui-settori-della-conoscenza.flc" TargetMode="External"/><Relationship Id="rId14" Type="http://schemas.openxmlformats.org/officeDocument/2006/relationships/hyperlink" Target="http://www.flcgil.it/attualita/sindacato/convertito-in-legge-il-decreto-che-ha-prorogato-dello-stato-di-emergenza-sintesi-dei-contenuti-e-ricadute-sui-settori-della-conoscenza.flc" TargetMode="External"/><Relationship Id="rId22" Type="http://schemas.openxmlformats.org/officeDocument/2006/relationships/hyperlink" Target="https://www.gazzettaufficiale.it/eli/id/2022/01/27/22G00008/s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3292</Words>
  <Characters>18769</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2022-02-22T12:57:00Z</dcterms:created>
  <dcterms:modified xsi:type="dcterms:W3CDTF">2022-02-22T12:58:00Z</dcterms:modified>
</cp:coreProperties>
</file>