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64" w:rsidRPr="00114864" w:rsidRDefault="00114864" w:rsidP="00114864">
      <w:pPr>
        <w:shd w:val="clear" w:color="auto" w:fill="FFFFFF"/>
        <w:spacing w:after="45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</w:pPr>
      <w:proofErr w:type="spellStart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>Pnrr</w:t>
      </w:r>
      <w:proofErr w:type="spellEnd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 xml:space="preserve">: per la </w:t>
      </w:r>
      <w:proofErr w:type="spellStart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>Pa</w:t>
      </w:r>
      <w:proofErr w:type="spellEnd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 xml:space="preserve"> la </w:t>
      </w:r>
      <w:proofErr w:type="spellStart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>milestone</w:t>
      </w:r>
      <w:proofErr w:type="spellEnd"/>
      <w:r w:rsidRPr="00114864">
        <w:rPr>
          <w:rFonts w:ascii="inherit" w:eastAsia="Times New Roman" w:hAnsi="inherit" w:cs="Times New Roman"/>
          <w:b/>
          <w:bCs/>
          <w:color w:val="000000"/>
          <w:spacing w:val="-2"/>
          <w:kern w:val="36"/>
          <w:sz w:val="65"/>
          <w:szCs w:val="65"/>
          <w:lang w:eastAsia="it-IT"/>
        </w:rPr>
        <w:t xml:space="preserve"> di giugno è la riforma del pubblico impiego, già ampiamente anticipata</w:t>
      </w:r>
    </w:p>
    <w:p w:rsidR="00114864" w:rsidRPr="00114864" w:rsidRDefault="00114864" w:rsidP="00114864">
      <w:pPr>
        <w:shd w:val="clear" w:color="auto" w:fill="FFFFFF"/>
        <w:spacing w:after="375" w:line="240" w:lineRule="auto"/>
        <w:rPr>
          <w:rFonts w:ascii="inherit" w:eastAsia="Times New Roman" w:hAnsi="inherit" w:cs="Times New Roman"/>
          <w:color w:val="5A6772"/>
          <w:spacing w:val="1"/>
          <w:sz w:val="20"/>
          <w:szCs w:val="20"/>
          <w:lang w:eastAsia="it-IT"/>
        </w:rPr>
      </w:pPr>
      <w:r w:rsidRPr="00114864">
        <w:rPr>
          <w:rFonts w:ascii="inherit" w:eastAsia="Times New Roman" w:hAnsi="inherit" w:cs="Times New Roman"/>
          <w:color w:val="5A6772"/>
          <w:spacing w:val="1"/>
          <w:sz w:val="20"/>
          <w:szCs w:val="20"/>
          <w:lang w:eastAsia="it-IT"/>
        </w:rPr>
        <w:t>3 febbraio 2022</w:t>
      </w:r>
    </w:p>
    <w:p w:rsidR="00114864" w:rsidRPr="00114864" w:rsidRDefault="00114864" w:rsidP="0011486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114864" w:rsidRPr="00114864" w:rsidRDefault="00114864" w:rsidP="00114864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È la riforma del pubblico impiego, e in particolare l’entrata in vigore delle norme abilitanti, la </w:t>
      </w:r>
      <w:proofErr w:type="spellStart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milestone</w:t>
      </w:r>
      <w:proofErr w:type="spellEnd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che il Piano nazionale di ripresa e resilienza assegna alla Pubblica amministrazione entro il primo semestre 2022. Il ministro Renato Brunetta la ha illustrata ieri in Consiglio dei ministri, nell’ambito del confronto sullo stato di avanzamento del </w:t>
      </w:r>
      <w:proofErr w:type="spellStart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Pnrr</w:t>
      </w:r>
      <w:proofErr w:type="spellEnd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.</w:t>
      </w:r>
    </w:p>
    <w:p w:rsidR="00114864" w:rsidRPr="00114864" w:rsidRDefault="00114864" w:rsidP="00114864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La </w:t>
      </w:r>
      <w:proofErr w:type="spellStart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milestone</w:t>
      </w:r>
      <w:proofErr w:type="spellEnd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M1C1-56 è stata, in realtà, già ampiamente attuata durante lo scorso anno, con il decreto legge n. 80/2021 sulla riforma del lavoro pubblico e con l’art. 10 del decreto legge n. 44/2021 che ha sbloccato, velocizzato e digitalizzato i concorsi. I due decreti hanno rappresentato gli interventi legislativi abilitanti rispetto alle attività organizzative e di implementazione su cui il Dipartimento della Funzione Pubblica sta attualmente lavorando e che saranno completate entro il primo semestre 2022. Tali attività consentiranno di anticipare alcuni interventi relativi alla </w:t>
      </w:r>
      <w:proofErr w:type="spellStart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milestone</w:t>
      </w:r>
      <w:proofErr w:type="spellEnd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M1C1-58 con scadenza 30 giugno 2023, sempre relativa alla riforma del pubblico impiego.</w:t>
      </w:r>
    </w:p>
    <w:p w:rsidR="00114864" w:rsidRPr="00114864" w:rsidRDefault="00114864" w:rsidP="00114864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Nel merito, gli interventi principali su cui si concentra l’attività e che saranno completati entro giugno 2022 riguardano:</w:t>
      </w:r>
    </w:p>
    <w:p w:rsidR="00114864" w:rsidRPr="00114864" w:rsidRDefault="00114864" w:rsidP="00114864">
      <w:pPr>
        <w:numPr>
          <w:ilvl w:val="0"/>
          <w:numId w:val="1"/>
        </w:numPr>
        <w:shd w:val="clear" w:color="auto" w:fill="FFFFFF"/>
        <w:spacing w:after="60" w:line="384" w:lineRule="atLeast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modifica del 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Dpr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487/1994 sui concorsi;</w:t>
      </w:r>
    </w:p>
    <w:p w:rsidR="00114864" w:rsidRPr="00114864" w:rsidRDefault="00114864" w:rsidP="00114864">
      <w:pPr>
        <w:numPr>
          <w:ilvl w:val="0"/>
          <w:numId w:val="1"/>
        </w:numPr>
        <w:shd w:val="clear" w:color="auto" w:fill="FFFFFF"/>
        <w:spacing w:after="60" w:line="384" w:lineRule="atLeast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l’estensione delle funzionalità del portale del reclutamento 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InPA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14864" w:rsidRPr="00114864" w:rsidRDefault="00114864" w:rsidP="00114864">
      <w:pPr>
        <w:numPr>
          <w:ilvl w:val="0"/>
          <w:numId w:val="1"/>
        </w:numPr>
        <w:shd w:val="clear" w:color="auto" w:fill="FFFFFF"/>
        <w:spacing w:after="60" w:line="384" w:lineRule="atLeast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rinnovo dei 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Ccnl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 opera di Aran) per il comparto funzioni centrali (firmato il 5 gennaio 2022) e per i comparti sanità ed enti locali;</w:t>
      </w:r>
    </w:p>
    <w:p w:rsidR="00114864" w:rsidRPr="00114864" w:rsidRDefault="00114864" w:rsidP="00114864">
      <w:pPr>
        <w:numPr>
          <w:ilvl w:val="0"/>
          <w:numId w:val="1"/>
        </w:numPr>
        <w:shd w:val="clear" w:color="auto" w:fill="FFFFFF"/>
        <w:spacing w:after="60" w:line="384" w:lineRule="atLeast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l’adozione di linee guida e indirizzi da parte di Scuola Nazionale dell'Amministrazione (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Sna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) sull’accesso alla dirigenza e di direttive del ministro e circolari del Dipartimento con riguardo all’applicazione delle nuove norme;</w:t>
      </w:r>
    </w:p>
    <w:p w:rsidR="00114864" w:rsidRPr="00114864" w:rsidRDefault="00114864" w:rsidP="00114864">
      <w:pPr>
        <w:numPr>
          <w:ilvl w:val="0"/>
          <w:numId w:val="1"/>
        </w:numPr>
        <w:shd w:val="clear" w:color="auto" w:fill="FFFFFF"/>
        <w:spacing w:after="60" w:line="384" w:lineRule="atLeast"/>
        <w:ind w:left="-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 l’attuazione delle norme sul 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Piao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Piano integrato di attività e organizzazione (approvazione </w:t>
      </w:r>
      <w:proofErr w:type="spellStart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>Dpr</w:t>
      </w:r>
      <w:proofErr w:type="spellEnd"/>
      <w:r w:rsidRPr="001148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Dm).</w:t>
      </w:r>
    </w:p>
    <w:p w:rsidR="00114864" w:rsidRPr="00114864" w:rsidRDefault="00114864" w:rsidP="00114864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Al momento non si ravvisano elementi di criticità o di ritardo rispetto alle attività previste, questo grazie alla scelta operata di approvare le norme abilitanti fin da subito per lasciare un adeguato spazio di tempo per la loro implementazione.</w:t>
      </w:r>
    </w:p>
    <w:p w:rsidR="00114864" w:rsidRPr="00114864" w:rsidRDefault="00114864" w:rsidP="00114864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Si segnala, infine, che il Dipartimento della Funzione pubblica ha già avviato tutte le attività volte all’attuazione di quanto previsto dalla </w:t>
      </w:r>
      <w:proofErr w:type="spellStart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milestone</w:t>
      </w:r>
      <w:proofErr w:type="spellEnd"/>
      <w:r w:rsidRPr="00114864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M1C1-57 in materia di semplificazione, che andrà completata entro il 31 dicembre 2022.</w:t>
      </w:r>
    </w:p>
    <w:sectPr w:rsidR="00114864" w:rsidRPr="0011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31A7"/>
    <w:multiLevelType w:val="multilevel"/>
    <w:tmpl w:val="26E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B482C"/>
    <w:multiLevelType w:val="multilevel"/>
    <w:tmpl w:val="FC0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64"/>
    <w:rsid w:val="00114864"/>
    <w:rsid w:val="009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5E5D-00E6-46EC-AD03-02FB268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53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0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00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4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9395">
                                  <w:marLeft w:val="30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9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8704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1075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67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73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2022-02-04T08:53:00Z</dcterms:created>
  <dcterms:modified xsi:type="dcterms:W3CDTF">2022-02-04T08:54:00Z</dcterms:modified>
</cp:coreProperties>
</file>