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32A" w:rsidRPr="0024332A" w:rsidRDefault="0024332A" w:rsidP="0024332A">
      <w:pPr>
        <w:spacing w:line="240" w:lineRule="auto"/>
        <w:outlineLvl w:val="1"/>
        <w:rPr>
          <w:rFonts w:ascii="Helvetica" w:eastAsia="Times New Roman" w:hAnsi="Helvetica" w:cs="Times New Roman"/>
          <w:color w:val="1C2024"/>
          <w:spacing w:val="-1"/>
          <w:sz w:val="48"/>
          <w:szCs w:val="48"/>
          <w:lang w:eastAsia="it-IT"/>
        </w:rPr>
      </w:pPr>
      <w:r w:rsidRPr="0024332A">
        <w:rPr>
          <w:rFonts w:ascii="Helvetica" w:eastAsia="Times New Roman" w:hAnsi="Helvetica" w:cs="Times New Roman"/>
          <w:color w:val="1C2024"/>
          <w:spacing w:val="-1"/>
          <w:sz w:val="48"/>
          <w:szCs w:val="48"/>
          <w:lang w:eastAsia="it-IT"/>
        </w:rPr>
        <w:t>Educazione alla sostenibilità, orientamento, sport, lotta al bullismo: arrivano 12 milioni per l’ampliamento dell’offerta formativa. Pubblicati gli avvisi per le scuole. Previsti nuovi criteri per l’assegnazione e la valutazione dei progetti</w:t>
      </w:r>
    </w:p>
    <w:p w:rsidR="0024332A" w:rsidRPr="0024332A" w:rsidRDefault="0024332A" w:rsidP="0024332A">
      <w:pPr>
        <w:spacing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0" w:name="_GoBack"/>
      <w:bookmarkEnd w:id="0"/>
    </w:p>
    <w:p w:rsidR="0024332A" w:rsidRPr="0024332A" w:rsidRDefault="0024332A" w:rsidP="0024332A">
      <w:pPr>
        <w:spacing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4332A" w:rsidRPr="0024332A" w:rsidRDefault="0024332A" w:rsidP="0024332A">
      <w:pPr>
        <w:spacing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4332A" w:rsidRPr="0024332A" w:rsidRDefault="0024332A" w:rsidP="0024332A">
      <w:pPr>
        <w:pBdr>
          <w:right w:val="single" w:sz="6" w:space="15" w:color="DBDBD6"/>
        </w:pBdr>
        <w:spacing w:after="0" w:line="240" w:lineRule="auto"/>
        <w:rPr>
          <w:rFonts w:ascii="Times New Roman" w:eastAsia="Times New Roman" w:hAnsi="Times New Roman" w:cs="Times New Roman"/>
          <w:color w:val="5A6772"/>
          <w:sz w:val="20"/>
          <w:szCs w:val="20"/>
          <w:lang w:eastAsia="it-IT"/>
        </w:rPr>
      </w:pPr>
      <w:r w:rsidRPr="0024332A">
        <w:rPr>
          <w:rFonts w:ascii="Times New Roman" w:eastAsia="Times New Roman" w:hAnsi="Times New Roman" w:cs="Times New Roman"/>
          <w:color w:val="5A6772"/>
          <w:sz w:val="20"/>
          <w:szCs w:val="20"/>
          <w:lang w:eastAsia="it-IT"/>
        </w:rPr>
        <w:t>Venerdì, 22 ottobre 2021</w:t>
      </w:r>
    </w:p>
    <w:p w:rsidR="0024332A" w:rsidRPr="0024332A" w:rsidRDefault="0024332A" w:rsidP="002433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4332A">
        <w:rPr>
          <w:rFonts w:ascii="Times New Roman" w:eastAsia="Times New Roman" w:hAnsi="Times New Roman" w:cs="Times New Roman"/>
          <w:noProof/>
          <w:color w:val="0066CC"/>
          <w:sz w:val="24"/>
          <w:szCs w:val="24"/>
          <w:lang w:eastAsia="it-IT"/>
        </w:rPr>
        <mc:AlternateContent>
          <mc:Choice Requires="wps">
            <w:drawing>
              <wp:inline distT="0" distB="0" distL="0" distR="0" wp14:anchorId="11FF18A5" wp14:editId="7454A514">
                <wp:extent cx="304800" cy="304800"/>
                <wp:effectExtent l="0" t="0" r="0" b="0"/>
                <wp:docPr id="2" name="AutoShape 4" descr="https://www.miur.gov.it/o/miur-theme/icons/stampa.svg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D8A596" id="AutoShape 4" o:spid="_x0000_s1026" alt="https://www.miur.gov.it/o/miur-theme/icons/stampa.svg" href="https://www.miur.gov.it/web/guest/-/educazione-alla-sostenibilita-orientamento-sport-lotta-al-bullismo-arrivano-12-milioni-per-l-ampliamento-dell-offerta-formativa-pubblicati-gli-avvisi-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24332A" w:rsidRPr="0024332A" w:rsidRDefault="0024332A" w:rsidP="002433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4332A">
        <w:rPr>
          <w:rFonts w:ascii="Times New Roman" w:eastAsia="Times New Roman" w:hAnsi="Times New Roman" w:cs="Times New Roman"/>
          <w:sz w:val="24"/>
          <w:szCs w:val="24"/>
          <w:lang w:eastAsia="it-IT"/>
        </w:rPr>
        <w:t>Prosegue l’azione del Ministero dell’Istruzione per favorire il </w:t>
      </w:r>
      <w:r w:rsidRPr="0024332A">
        <w:rPr>
          <w:rFonts w:ascii="Helvetica" w:eastAsia="Times New Roman" w:hAnsi="Helvetica" w:cs="Times New Roman"/>
          <w:sz w:val="24"/>
          <w:szCs w:val="24"/>
          <w:lang w:eastAsia="it-IT"/>
        </w:rPr>
        <w:t>potenziamento degli apprendimenti</w:t>
      </w:r>
      <w:r w:rsidRPr="0024332A">
        <w:rPr>
          <w:rFonts w:ascii="Times New Roman" w:eastAsia="Times New Roman" w:hAnsi="Times New Roman" w:cs="Times New Roman"/>
          <w:sz w:val="24"/>
          <w:szCs w:val="24"/>
          <w:lang w:eastAsia="it-IT"/>
        </w:rPr>
        <w:t> di studentesse e studenti e, contestualmente, </w:t>
      </w:r>
      <w:r w:rsidRPr="0024332A">
        <w:rPr>
          <w:rFonts w:ascii="Helvetica" w:eastAsia="Times New Roman" w:hAnsi="Helvetica" w:cs="Times New Roman"/>
          <w:sz w:val="24"/>
          <w:szCs w:val="24"/>
          <w:lang w:eastAsia="it-IT"/>
        </w:rPr>
        <w:t>ampliare l’offerta formativa</w:t>
      </w:r>
      <w:r w:rsidRPr="0024332A">
        <w:rPr>
          <w:rFonts w:ascii="Times New Roman" w:eastAsia="Times New Roman" w:hAnsi="Times New Roman" w:cs="Times New Roman"/>
          <w:sz w:val="24"/>
          <w:szCs w:val="24"/>
          <w:lang w:eastAsia="it-IT"/>
        </w:rPr>
        <w:t> delle scuole, garantendo maggiori opportunità a ragazze e ragazzi su tutto il territorio nazionale. A questo scopo oggi sono stati pubblicati </w:t>
      </w:r>
      <w:r w:rsidRPr="0024332A">
        <w:rPr>
          <w:rFonts w:ascii="Helvetica" w:eastAsia="Times New Roman" w:hAnsi="Helvetica" w:cs="Times New Roman"/>
          <w:sz w:val="24"/>
          <w:szCs w:val="24"/>
          <w:lang w:eastAsia="it-IT"/>
        </w:rPr>
        <w:t>12 avvisi, per un totale di 12 milioni, </w:t>
      </w:r>
      <w:r w:rsidRPr="0024332A">
        <w:rPr>
          <w:rFonts w:ascii="Times New Roman" w:eastAsia="Times New Roman" w:hAnsi="Times New Roman" w:cs="Times New Roman"/>
          <w:sz w:val="24"/>
          <w:szCs w:val="24"/>
          <w:lang w:eastAsia="it-IT"/>
        </w:rPr>
        <w:t>rivolti alle istituzioni scolastiche per attivare progetti e iniziative legati al Piano ‘</w:t>
      </w:r>
      <w:proofErr w:type="spellStart"/>
      <w:r w:rsidRPr="0024332A">
        <w:rPr>
          <w:rFonts w:ascii="Times New Roman" w:eastAsia="Times New Roman" w:hAnsi="Times New Roman" w:cs="Times New Roman"/>
          <w:sz w:val="24"/>
          <w:szCs w:val="24"/>
          <w:lang w:eastAsia="it-IT"/>
        </w:rPr>
        <w:t>RiGenerazione</w:t>
      </w:r>
      <w:proofErr w:type="spellEnd"/>
      <w:r w:rsidRPr="0024332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scuola’ per la diffusione della cultura della sostenibilità, fare orientamento, aumentare l’offerta di attività motorie e molto altro.</w:t>
      </w:r>
    </w:p>
    <w:p w:rsidR="0024332A" w:rsidRPr="0024332A" w:rsidRDefault="0024332A" w:rsidP="002433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4332A">
        <w:rPr>
          <w:rFonts w:ascii="Times New Roman" w:eastAsia="Times New Roman" w:hAnsi="Times New Roman" w:cs="Times New Roman"/>
          <w:sz w:val="24"/>
          <w:szCs w:val="24"/>
          <w:lang w:eastAsia="it-IT"/>
        </w:rPr>
        <w:t>Le </w:t>
      </w:r>
      <w:r w:rsidRPr="0024332A">
        <w:rPr>
          <w:rFonts w:ascii="Helvetica" w:eastAsia="Times New Roman" w:hAnsi="Helvetica" w:cs="Times New Roman"/>
          <w:sz w:val="24"/>
          <w:szCs w:val="24"/>
          <w:lang w:eastAsia="it-IT"/>
        </w:rPr>
        <w:t>progettualità dovranno essere innovative</w:t>
      </w:r>
      <w:r w:rsidRPr="0024332A">
        <w:rPr>
          <w:rFonts w:ascii="Times New Roman" w:eastAsia="Times New Roman" w:hAnsi="Times New Roman" w:cs="Times New Roman"/>
          <w:sz w:val="24"/>
          <w:szCs w:val="24"/>
          <w:lang w:eastAsia="it-IT"/>
        </w:rPr>
        <w:t> e favorire il successo formativo di tutti gli alunni, con particolare attenzione alle condizioni di disagio, alla piena partecipazione alla vita scolastica di studenti e famiglie, al contrasto al bullismo e alla salvaguardia dell’ambiente.</w:t>
      </w:r>
    </w:p>
    <w:p w:rsidR="0024332A" w:rsidRPr="0024332A" w:rsidRDefault="0024332A" w:rsidP="0024332A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4332A">
        <w:rPr>
          <w:rFonts w:ascii="Times New Roman" w:eastAsia="Times New Roman" w:hAnsi="Times New Roman" w:cs="Times New Roman"/>
          <w:sz w:val="24"/>
          <w:szCs w:val="24"/>
          <w:lang w:eastAsia="it-IT"/>
        </w:rPr>
        <w:t>I bandi odierni proseguono una linea di finanziamenti già avviata questa estate per potenziare gli apprendimenti e recuperare la socialità delle studentesse e degli studenti penalizzata dalla pandemia. In particolare, lo scorso agosto il Ministero ha sperimentato una nuova modalità di individuazione delle progettualità e dei soggetti proponenti, pubblicando un avviso dedicato esclusivamente agli Enti del Terzo Settore, con uno stanziamento di risorse pari a 5 milioni di euro, finalizzato alla co-progettazione di iniziative di rilevanza nazionale destinate alle istituzioni scolastiche relative a diverse tematiche (contrasto alle mafie e legalità, inclusione, promozione dell’internazionalizzazione dei percorsi formativi ed altro).</w:t>
      </w:r>
    </w:p>
    <w:p w:rsidR="0024332A" w:rsidRPr="0024332A" w:rsidRDefault="0024332A" w:rsidP="0024332A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4332A">
        <w:rPr>
          <w:rFonts w:ascii="Times New Roman" w:eastAsia="Times New Roman" w:hAnsi="Times New Roman" w:cs="Times New Roman"/>
          <w:sz w:val="24"/>
          <w:szCs w:val="24"/>
          <w:lang w:eastAsia="it-IT"/>
        </w:rPr>
        <w:t>I 12 avvisi (di cui 2 destinati esclusivamente ai Centri Provinciali per l’Istruzione degli Adulti) pubblicati oggi sono destinati direttamente alle scuole e riguardano i seguenti ambiti:</w:t>
      </w:r>
    </w:p>
    <w:p w:rsidR="0024332A" w:rsidRPr="0024332A" w:rsidRDefault="0024332A" w:rsidP="0024332A">
      <w:pPr>
        <w:numPr>
          <w:ilvl w:val="0"/>
          <w:numId w:val="1"/>
        </w:numPr>
        <w:spacing w:after="0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4332A">
        <w:rPr>
          <w:rFonts w:ascii="Times New Roman" w:eastAsia="Times New Roman" w:hAnsi="Times New Roman" w:cs="Times New Roman"/>
          <w:sz w:val="24"/>
          <w:szCs w:val="24"/>
          <w:lang w:eastAsia="it-IT"/>
        </w:rPr>
        <w:t>ampliamento dell’offerta formativa su diverse tematiche quali la dispersione scolastica, l’orientamento, il contrasto del bullismo, le ricorrenze di carattere nazionale e internazionale, l’educazione alla salute e stradale (2,76 milioni di euro);</w:t>
      </w:r>
    </w:p>
    <w:p w:rsidR="0024332A" w:rsidRPr="0024332A" w:rsidRDefault="0024332A" w:rsidP="0024332A">
      <w:pPr>
        <w:numPr>
          <w:ilvl w:val="0"/>
          <w:numId w:val="1"/>
        </w:numPr>
        <w:spacing w:after="0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4332A">
        <w:rPr>
          <w:rFonts w:ascii="Times New Roman" w:eastAsia="Times New Roman" w:hAnsi="Times New Roman" w:cs="Times New Roman"/>
          <w:sz w:val="24"/>
          <w:szCs w:val="24"/>
          <w:lang w:eastAsia="it-IT"/>
        </w:rPr>
        <w:t>sostenibilità e transizione ecologica (2 milioni di euro);</w:t>
      </w:r>
    </w:p>
    <w:p w:rsidR="0024332A" w:rsidRPr="0024332A" w:rsidRDefault="0024332A" w:rsidP="0024332A">
      <w:pPr>
        <w:numPr>
          <w:ilvl w:val="0"/>
          <w:numId w:val="1"/>
        </w:numPr>
        <w:spacing w:after="0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4332A">
        <w:rPr>
          <w:rFonts w:ascii="Times New Roman" w:eastAsia="Times New Roman" w:hAnsi="Times New Roman" w:cs="Times New Roman"/>
          <w:sz w:val="24"/>
          <w:szCs w:val="24"/>
          <w:lang w:eastAsia="it-IT"/>
        </w:rPr>
        <w:t>promozione dell’attività motoria e sportiva (1,5 milioni di euro);</w:t>
      </w:r>
    </w:p>
    <w:p w:rsidR="0024332A" w:rsidRPr="0024332A" w:rsidRDefault="0024332A" w:rsidP="0024332A">
      <w:pPr>
        <w:numPr>
          <w:ilvl w:val="0"/>
          <w:numId w:val="1"/>
        </w:numPr>
        <w:spacing w:after="0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4332A">
        <w:rPr>
          <w:rFonts w:ascii="Times New Roman" w:eastAsia="Times New Roman" w:hAnsi="Times New Roman" w:cs="Times New Roman"/>
          <w:sz w:val="24"/>
          <w:szCs w:val="24"/>
          <w:lang w:eastAsia="it-IT"/>
        </w:rPr>
        <w:t>potenziamento delle competenze linguistiche (850 mila euro);</w:t>
      </w:r>
    </w:p>
    <w:p w:rsidR="0024332A" w:rsidRPr="0024332A" w:rsidRDefault="0024332A" w:rsidP="0024332A">
      <w:pPr>
        <w:numPr>
          <w:ilvl w:val="0"/>
          <w:numId w:val="1"/>
        </w:numPr>
        <w:spacing w:after="0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4332A">
        <w:rPr>
          <w:rFonts w:ascii="Times New Roman" w:eastAsia="Times New Roman" w:hAnsi="Times New Roman" w:cs="Times New Roman"/>
          <w:sz w:val="24"/>
          <w:szCs w:val="24"/>
          <w:lang w:eastAsia="it-IT"/>
        </w:rPr>
        <w:t>garanzia delle competenze della popolazione adulta (850 mila euro);</w:t>
      </w:r>
    </w:p>
    <w:p w:rsidR="0024332A" w:rsidRPr="0024332A" w:rsidRDefault="0024332A" w:rsidP="0024332A">
      <w:pPr>
        <w:numPr>
          <w:ilvl w:val="0"/>
          <w:numId w:val="1"/>
        </w:numPr>
        <w:spacing w:after="0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4332A">
        <w:rPr>
          <w:rFonts w:ascii="Times New Roman" w:eastAsia="Times New Roman" w:hAnsi="Times New Roman" w:cs="Times New Roman"/>
          <w:sz w:val="24"/>
          <w:szCs w:val="24"/>
          <w:lang w:eastAsia="it-IT"/>
        </w:rPr>
        <w:t>orientamento e motivazione scolastica (850 mila euro);</w:t>
      </w:r>
    </w:p>
    <w:p w:rsidR="0024332A" w:rsidRPr="0024332A" w:rsidRDefault="0024332A" w:rsidP="0024332A">
      <w:pPr>
        <w:numPr>
          <w:ilvl w:val="0"/>
          <w:numId w:val="1"/>
        </w:numPr>
        <w:spacing w:after="0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4332A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potenziamento delle competenze logico-matematiche (850 mila euro);</w:t>
      </w:r>
    </w:p>
    <w:p w:rsidR="0024332A" w:rsidRPr="0024332A" w:rsidRDefault="0024332A" w:rsidP="0024332A">
      <w:pPr>
        <w:numPr>
          <w:ilvl w:val="0"/>
          <w:numId w:val="1"/>
        </w:numPr>
        <w:spacing w:after="0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4332A">
        <w:rPr>
          <w:rFonts w:ascii="Times New Roman" w:eastAsia="Times New Roman" w:hAnsi="Times New Roman" w:cs="Times New Roman"/>
          <w:sz w:val="24"/>
          <w:szCs w:val="24"/>
          <w:lang w:eastAsia="it-IT"/>
        </w:rPr>
        <w:t>potenziamento degli sportelli per l’autismo e istituzione di nuovi (850 mila euro);</w:t>
      </w:r>
    </w:p>
    <w:p w:rsidR="0024332A" w:rsidRPr="0024332A" w:rsidRDefault="0024332A" w:rsidP="0024332A">
      <w:pPr>
        <w:numPr>
          <w:ilvl w:val="0"/>
          <w:numId w:val="1"/>
        </w:numPr>
        <w:spacing w:after="0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4332A">
        <w:rPr>
          <w:rFonts w:ascii="Times New Roman" w:eastAsia="Times New Roman" w:hAnsi="Times New Roman" w:cs="Times New Roman"/>
          <w:sz w:val="24"/>
          <w:szCs w:val="24"/>
          <w:lang w:eastAsia="it-IT"/>
        </w:rPr>
        <w:t>pratica corale (680 mila euro);</w:t>
      </w:r>
    </w:p>
    <w:p w:rsidR="0024332A" w:rsidRPr="0024332A" w:rsidRDefault="0024332A" w:rsidP="0024332A">
      <w:pPr>
        <w:numPr>
          <w:ilvl w:val="0"/>
          <w:numId w:val="1"/>
        </w:numPr>
        <w:spacing w:after="0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4332A">
        <w:rPr>
          <w:rFonts w:ascii="Times New Roman" w:eastAsia="Times New Roman" w:hAnsi="Times New Roman" w:cs="Times New Roman"/>
          <w:sz w:val="24"/>
          <w:szCs w:val="24"/>
          <w:lang w:eastAsia="it-IT"/>
        </w:rPr>
        <w:t>potenziamento dei Centri Regionali di Ricerca, Sperimentazione e Sviluppo per l’istruzione degli adulti (420 mila euro);</w:t>
      </w:r>
    </w:p>
    <w:p w:rsidR="0024332A" w:rsidRPr="0024332A" w:rsidRDefault="0024332A" w:rsidP="0024332A">
      <w:pPr>
        <w:numPr>
          <w:ilvl w:val="0"/>
          <w:numId w:val="1"/>
        </w:numPr>
        <w:spacing w:after="0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4332A">
        <w:rPr>
          <w:rFonts w:ascii="Times New Roman" w:eastAsia="Times New Roman" w:hAnsi="Times New Roman" w:cs="Times New Roman"/>
          <w:sz w:val="24"/>
          <w:szCs w:val="24"/>
          <w:lang w:eastAsia="it-IT"/>
        </w:rPr>
        <w:t>promozione dell’innovazione pedagogica plurilingue (160 mila euro);</w:t>
      </w:r>
    </w:p>
    <w:p w:rsidR="0024332A" w:rsidRPr="0024332A" w:rsidRDefault="0024332A" w:rsidP="0024332A">
      <w:pPr>
        <w:numPr>
          <w:ilvl w:val="0"/>
          <w:numId w:val="1"/>
        </w:numPr>
        <w:spacing w:after="0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4332A">
        <w:rPr>
          <w:rFonts w:ascii="Times New Roman" w:eastAsia="Times New Roman" w:hAnsi="Times New Roman" w:cs="Times New Roman"/>
          <w:sz w:val="24"/>
          <w:szCs w:val="24"/>
          <w:lang w:eastAsia="it-IT"/>
        </w:rPr>
        <w:t>supporto alla transizione digitale (200 mila euro).</w:t>
      </w:r>
    </w:p>
    <w:p w:rsidR="0024332A" w:rsidRPr="0024332A" w:rsidRDefault="0024332A" w:rsidP="0024332A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4332A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:rsidR="0024332A" w:rsidRPr="0024332A" w:rsidRDefault="0024332A" w:rsidP="002433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4332A">
        <w:rPr>
          <w:rFonts w:ascii="Times New Roman" w:eastAsia="Times New Roman" w:hAnsi="Times New Roman" w:cs="Times New Roman"/>
          <w:sz w:val="24"/>
          <w:szCs w:val="24"/>
          <w:lang w:eastAsia="it-IT"/>
        </w:rPr>
        <w:t>Negli avvisi di quest’anno sono stati </w:t>
      </w:r>
      <w:r w:rsidRPr="0024332A">
        <w:rPr>
          <w:rFonts w:ascii="Helvetica" w:eastAsia="Times New Roman" w:hAnsi="Helvetica" w:cs="Times New Roman"/>
          <w:sz w:val="24"/>
          <w:szCs w:val="24"/>
          <w:lang w:eastAsia="it-IT"/>
        </w:rPr>
        <w:t>introdotti criteri di valutazione</w:t>
      </w:r>
      <w:r w:rsidRPr="0024332A">
        <w:rPr>
          <w:rFonts w:ascii="Times New Roman" w:eastAsia="Times New Roman" w:hAnsi="Times New Roman" w:cs="Times New Roman"/>
          <w:sz w:val="24"/>
          <w:szCs w:val="24"/>
          <w:lang w:eastAsia="it-IT"/>
        </w:rPr>
        <w:t> volti a valorizzare la qualità degli interventi proposti dalle istituzioni scolastiche, nonché i potenziali benefici in termini di impatto sul sistema Istruzione. Una particolare attenzione è stata posta alla necessità di </w:t>
      </w:r>
      <w:r w:rsidRPr="0024332A">
        <w:rPr>
          <w:rFonts w:ascii="Helvetica" w:eastAsia="Times New Roman" w:hAnsi="Helvetica" w:cs="Times New Roman"/>
          <w:sz w:val="24"/>
          <w:szCs w:val="24"/>
          <w:lang w:eastAsia="it-IT"/>
        </w:rPr>
        <w:t>assicurare il principio di rotazione</w:t>
      </w:r>
      <w:r w:rsidRPr="0024332A">
        <w:rPr>
          <w:rFonts w:ascii="Times New Roman" w:eastAsia="Times New Roman" w:hAnsi="Times New Roman" w:cs="Times New Roman"/>
          <w:sz w:val="24"/>
          <w:szCs w:val="24"/>
          <w:lang w:eastAsia="it-IT"/>
        </w:rPr>
        <w:t> delle scuole aggiudicatarie dei finanziamenti in esame, prevedendo l’attribuzione di uno specifico punteggio in favore delle scuole che non abbiano avuto accesso, nel triennio precedente, ad attività progettuali finanziate a valere sui fondi destinati all’ampliamento dell’offerta formativa.</w:t>
      </w:r>
    </w:p>
    <w:p w:rsidR="0024332A" w:rsidRPr="0024332A" w:rsidRDefault="0024332A" w:rsidP="002433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4332A">
        <w:rPr>
          <w:rFonts w:ascii="Times New Roman" w:eastAsia="Times New Roman" w:hAnsi="Times New Roman" w:cs="Times New Roman"/>
          <w:sz w:val="24"/>
          <w:szCs w:val="24"/>
          <w:lang w:eastAsia="it-IT"/>
        </w:rPr>
        <w:t>Ulteriore elemento di novità è rappresentato dalla </w:t>
      </w:r>
      <w:r w:rsidRPr="0024332A">
        <w:rPr>
          <w:rFonts w:ascii="Helvetica" w:eastAsia="Times New Roman" w:hAnsi="Helvetica" w:cs="Times New Roman"/>
          <w:sz w:val="24"/>
          <w:szCs w:val="24"/>
          <w:lang w:eastAsia="it-IT"/>
        </w:rPr>
        <w:t>valutazione delle diverse attività progettuali</w:t>
      </w:r>
      <w:r w:rsidRPr="0024332A">
        <w:rPr>
          <w:rFonts w:ascii="Times New Roman" w:eastAsia="Times New Roman" w:hAnsi="Times New Roman" w:cs="Times New Roman"/>
          <w:sz w:val="24"/>
          <w:szCs w:val="24"/>
          <w:lang w:eastAsia="it-IT"/>
        </w:rPr>
        <w:t> realizzate dalle istituzioni scolastiche attraverso il coinvolgimento dell’Istituto nazionale di documentazione, innovazione e ricerca educativa. L’obiettivo di fondo è verificare la possibilità di estendere a tutto il sistema d’Istruzione le iniziative sperimentate dalla singola scuola, in una logica di diffusione delle esperienze e di condivisione della conoscenza.</w:t>
      </w:r>
    </w:p>
    <w:p w:rsidR="0024332A" w:rsidRPr="0024332A" w:rsidRDefault="0024332A" w:rsidP="002433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4332A">
        <w:rPr>
          <w:rFonts w:ascii="Times New Roman" w:eastAsia="Times New Roman" w:hAnsi="Times New Roman" w:cs="Times New Roman"/>
          <w:sz w:val="24"/>
          <w:szCs w:val="24"/>
          <w:lang w:eastAsia="it-IT"/>
        </w:rPr>
        <w:t>Le proposte progettuali da parte delle scuole dovranno essere completate </w:t>
      </w:r>
      <w:r w:rsidRPr="0024332A">
        <w:rPr>
          <w:rFonts w:ascii="Helvetica" w:eastAsia="Times New Roman" w:hAnsi="Helvetica" w:cs="Times New Roman"/>
          <w:sz w:val="24"/>
          <w:szCs w:val="24"/>
          <w:lang w:eastAsia="it-IT"/>
        </w:rPr>
        <w:t>entro il 15 novembre 2021</w:t>
      </w:r>
      <w:r w:rsidRPr="0024332A">
        <w:rPr>
          <w:rFonts w:ascii="Times New Roman" w:eastAsia="Times New Roman" w:hAnsi="Times New Roman" w:cs="Times New Roman"/>
          <w:sz w:val="24"/>
          <w:szCs w:val="24"/>
          <w:lang w:eastAsia="it-IT"/>
        </w:rPr>
        <w:t>. È stata quindi </w:t>
      </w:r>
      <w:r w:rsidRPr="0024332A">
        <w:rPr>
          <w:rFonts w:ascii="Helvetica" w:eastAsia="Times New Roman" w:hAnsi="Helvetica" w:cs="Times New Roman"/>
          <w:sz w:val="24"/>
          <w:szCs w:val="24"/>
          <w:lang w:eastAsia="it-IT"/>
        </w:rPr>
        <w:t>concessa una tempistica funzionale sia all’elaborazione</w:t>
      </w:r>
      <w:r w:rsidRPr="0024332A">
        <w:rPr>
          <w:rFonts w:ascii="Times New Roman" w:eastAsia="Times New Roman" w:hAnsi="Times New Roman" w:cs="Times New Roman"/>
          <w:sz w:val="24"/>
          <w:szCs w:val="24"/>
          <w:lang w:eastAsia="it-IT"/>
        </w:rPr>
        <w:t> della proposta sia </w:t>
      </w:r>
      <w:r w:rsidRPr="0024332A">
        <w:rPr>
          <w:rFonts w:ascii="Helvetica" w:eastAsia="Times New Roman" w:hAnsi="Helvetica" w:cs="Times New Roman"/>
          <w:sz w:val="24"/>
          <w:szCs w:val="24"/>
          <w:lang w:eastAsia="it-IT"/>
        </w:rPr>
        <w:t>a consentire il corretto e strutturato coinvolgimento</w:t>
      </w:r>
      <w:r w:rsidRPr="0024332A">
        <w:rPr>
          <w:rFonts w:ascii="Times New Roman" w:eastAsia="Times New Roman" w:hAnsi="Times New Roman" w:cs="Times New Roman"/>
          <w:sz w:val="24"/>
          <w:szCs w:val="24"/>
          <w:lang w:eastAsia="it-IT"/>
        </w:rPr>
        <w:t> di eventuali partner pubblici e privati attraverso le procedure amministrative previste dalla normativa vigente.</w:t>
      </w:r>
    </w:p>
    <w:p w:rsidR="0024332A" w:rsidRPr="0024332A" w:rsidRDefault="0024332A" w:rsidP="0024332A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4332A">
        <w:rPr>
          <w:rFonts w:ascii="Times New Roman" w:eastAsia="Times New Roman" w:hAnsi="Times New Roman" w:cs="Times New Roman"/>
          <w:sz w:val="24"/>
          <w:szCs w:val="24"/>
          <w:lang w:eastAsia="it-IT"/>
        </w:rPr>
        <w:t>Il Ministero offrirà assistenza alle istituzioni scolastiche tramite i consueti canali dell’Help Desk Amministrativo Contabile (per problematiche organizzative, amministrative e gestionali) e del Service Desk (per problematiche tecniche).</w:t>
      </w:r>
    </w:p>
    <w:sectPr w:rsidR="0024332A" w:rsidRPr="0024332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4552C"/>
    <w:multiLevelType w:val="multilevel"/>
    <w:tmpl w:val="77187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276133"/>
    <w:multiLevelType w:val="multilevel"/>
    <w:tmpl w:val="78E6B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AD08AE"/>
    <w:multiLevelType w:val="multilevel"/>
    <w:tmpl w:val="31D05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32A"/>
    <w:rsid w:val="0024332A"/>
    <w:rsid w:val="0031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FCB71A-7817-4258-BBEC-9D6D92C53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2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21857">
          <w:marLeft w:val="0"/>
          <w:marRight w:val="0"/>
          <w:marTop w:val="7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4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507727">
                  <w:marLeft w:val="-105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3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660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907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204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708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808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600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9922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3042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0318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6069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9255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8757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31559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33942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921632">
                                                                              <w:marLeft w:val="0"/>
                                                                              <w:marRight w:val="72"/>
                                                                              <w:marTop w:val="0"/>
                                                                              <w:marBottom w:val="22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67825648">
                                                                              <w:marLeft w:val="0"/>
                                                                              <w:marRight w:val="72"/>
                                                                              <w:marTop w:val="0"/>
                                                                              <w:marBottom w:val="22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82538044">
                                                                              <w:marLeft w:val="0"/>
                                                                              <w:marRight w:val="72"/>
                                                                              <w:marTop w:val="0"/>
                                                                              <w:marBottom w:val="22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11305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single" w:sz="6" w:space="3" w:color="DBDBD6"/>
                                                                        <w:left w:val="none" w:sz="0" w:space="0" w:color="auto"/>
                                                                        <w:bottom w:val="single" w:sz="6" w:space="3" w:color="DBDBD6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03204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single" w:sz="6" w:space="8" w:color="DBDBD6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34446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4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890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0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641989">
                  <w:marLeft w:val="-105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6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165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924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514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724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510140">
                                          <w:marLeft w:val="-105"/>
                                          <w:marRight w:val="-10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645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964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2874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571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33205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520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5045011">
                                                      <w:marLeft w:val="-105"/>
                                                      <w:marRight w:val="-10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7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iur.gov.it/web/guest/-/educazione-alla-sostenibilita-orientamento-sport-lotta-al-bullismo-arrivano-12-milioni-per-l-ampliamento-dell-offerta-formativa-pubblicati-gli-avvisi-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Casagrande</dc:creator>
  <cp:keywords/>
  <dc:description/>
  <cp:lastModifiedBy>Daniele Casagrande</cp:lastModifiedBy>
  <cp:revision>1</cp:revision>
  <dcterms:created xsi:type="dcterms:W3CDTF">2021-10-25T07:18:00Z</dcterms:created>
  <dcterms:modified xsi:type="dcterms:W3CDTF">2021-10-25T07:19:00Z</dcterms:modified>
</cp:coreProperties>
</file>