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94" w:rsidRPr="006A3F94" w:rsidRDefault="006A3F94" w:rsidP="006A3F94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A3F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Concorso "L'Europa è nelle tue mani”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Il Dipartimento per le Politiche Europee e il Ministero dell'Istruzione - Direzione Generale per lo Studente, l'Inclusione e l'Orientamento Scolastico - indicono il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Concorso Nazionale "L'Europa è nelle tue mani!"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, rivolto agli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studenti delle scuole secondarie, pubbliche e paritarie, di secondo grado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del territorio nazionale.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Il concorso è promosso nel quadro delle iniziative della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Conferenza sul futuro per l'Europa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che ha aperto un nuovo spazio di discussione con i cittadini per affrontare le sfide e le priorità dell'UE, e i giovani europei hanno un ruolo centrale nel plasmare il futuro del progetto dell'Unione.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Gli studenti sono chiamati a realizzare un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elaborato che rappresenti la loro visione dell'UE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nell'ottica di chi è 'nato europeo' e desidera illustrare ai suoi coetanei le proprie idee in modo creativo. L'elaborato dovrà ispirarsi a uno dei nove temi della Conferenza: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Cambiamento climatico e ambiente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Salute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Un'economia più forte, giustizia sociale e occupazione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L'UE nel mondo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Valori e diritti, Stato di diritto, sicurezza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Trasformazione digitale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Democrazia europea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Migrazione</w:t>
      </w:r>
    </w:p>
    <w:p w:rsidR="006A3F94" w:rsidRPr="006A3F94" w:rsidRDefault="006A3F94" w:rsidP="006A3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Istruzione, cultura, gioventù e sport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L'elaborato può essere - a libera scelta - uno tra le seguenti tre tipologie:</w:t>
      </w:r>
    </w:p>
    <w:p w:rsidR="006A3F94" w:rsidRPr="006A3F94" w:rsidRDefault="006A3F94" w:rsidP="006A3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un documento in </w:t>
      </w:r>
      <w:proofErr w:type="spellStart"/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power</w:t>
      </w:r>
      <w:proofErr w:type="spellEnd"/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 xml:space="preserve"> </w:t>
      </w:r>
      <w:proofErr w:type="spellStart"/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point</w:t>
      </w:r>
      <w:proofErr w:type="spellEnd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o equivalente di massimo 6 pagine o diapositive;</w:t>
      </w:r>
    </w:p>
    <w:p w:rsidR="006A3F94" w:rsidRPr="006A3F94" w:rsidRDefault="006A3F94" w:rsidP="006A3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un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video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 della durata massima di 3 minuti realizzato con </w:t>
      </w:r>
      <w:proofErr w:type="spellStart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smartphone</w:t>
      </w:r>
      <w:proofErr w:type="spellEnd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, videocamera, software di video editing che si riterrà più appropriato;</w:t>
      </w:r>
    </w:p>
    <w:p w:rsidR="006A3F94" w:rsidRPr="006A3F94" w:rsidRDefault="006A3F94" w:rsidP="006A3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un contenuto adatto per essere veicolato tramite i canali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 social media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(</w:t>
      </w:r>
      <w:proofErr w:type="spellStart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Facebook</w:t>
      </w:r>
      <w:proofErr w:type="spellEnd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 e Instagram). Il contenuto potrà essere un post con foto o con video (per </w:t>
      </w:r>
      <w:proofErr w:type="spellStart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Facebook</w:t>
      </w:r>
      <w:proofErr w:type="spellEnd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) o un video, un </w:t>
      </w:r>
      <w:proofErr w:type="spellStart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reel</w:t>
      </w:r>
      <w:proofErr w:type="spellEnd"/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, un post singolo o un carosello (per Instagram).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Ulteriori informazioni sulle modalità di partecipazione, presentazione degli elaborati e il concorso in generale, sono presenti nel </w:t>
      </w:r>
      <w:hyperlink r:id="rId5" w:tooltip="Bando di concorso &quot;L'Europa è nelle tue mani&quot;" w:history="1">
        <w:r w:rsidRPr="006A3F9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bando</w:t>
        </w:r>
      </w:hyperlink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Gli elaborati dovranno essere inviati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entro il 15 febbraio 2022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secondo le modalità indicate nel </w:t>
      </w:r>
      <w:hyperlink r:id="rId6" w:tooltip="Bando di concorso &quot;L'Europa è nelle tue mani&quot;" w:history="1">
        <w:r w:rsidRPr="006A3F9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bando del concorso</w:t>
        </w:r>
      </w:hyperlink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, dove sono anche segnalati i materiali di approfondimento da consultare e ogni ulteriore informazione sulle modalità di partecipazione e la presentazione degli elaborati.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Una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commissione paritetica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 composta da rappresentanti della Direzione Generale per lo Studente, l'Inclusione e l'Orientamento Scolastico del Ministero dell'Istruzione, del Dipartimento per le Politiche Europee e del Ministero degli Affari Esteri e della 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lastRenderedPageBreak/>
        <w:t>Cooperazione Internazionale, valuteranno i lavori pervenuti per individuare 21 classi vincitrici (sette per ogni tipologia di elaborato). 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Per la valutazione degli elaborati, la Commissione esaminatrice terrà conto dei seguenti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criteri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:</w:t>
      </w:r>
    </w:p>
    <w:p w:rsidR="006A3F94" w:rsidRPr="006A3F94" w:rsidRDefault="006A3F94" w:rsidP="006A3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Coerenza dell'elaborato con il tema proposto;</w:t>
      </w:r>
    </w:p>
    <w:p w:rsidR="006A3F94" w:rsidRPr="006A3F94" w:rsidRDefault="006A3F94" w:rsidP="006A3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Capacità di veicolare il messaggio in maniera efficace e innovativa;</w:t>
      </w:r>
    </w:p>
    <w:p w:rsidR="006A3F94" w:rsidRPr="006A3F94" w:rsidRDefault="006A3F94" w:rsidP="006A3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Grado di creatività nella forma e nel contenuto proposto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Alle scuole di appartenenza delle 21 classi vincitrici verrà assegnato un </w:t>
      </w:r>
      <w:r w:rsidRPr="006A3F94">
        <w:rPr>
          <w:rFonts w:ascii="Times New Roman" w:eastAsia="Times New Roman" w:hAnsi="Times New Roman" w:cs="Times New Roman"/>
          <w:b/>
          <w:bCs/>
          <w:color w:val="1C2024"/>
          <w:sz w:val="27"/>
          <w:szCs w:val="27"/>
          <w:lang w:eastAsia="it-IT"/>
        </w:rPr>
        <w:t>premio</w:t>
      </w: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 di importo pari a 7.000 euro da utilizzare per l'acquisto di materiale didattico e/o per la realizzazione di iniziative formative relative alle tematiche europee.</w:t>
      </w:r>
    </w:p>
    <w:p w:rsidR="006A3F94" w:rsidRPr="006A3F94" w:rsidRDefault="006A3F94" w:rsidP="006A3F94">
      <w:pPr>
        <w:spacing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6A3F94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L'elenco delle classi vincitrici sarà pubblicato sul sito e sui canali social media del Dipartimento per le politiche europee.</w:t>
      </w:r>
      <w:bookmarkStart w:id="0" w:name="_GoBack"/>
      <w:bookmarkEnd w:id="0"/>
    </w:p>
    <w:sectPr w:rsidR="006A3F94" w:rsidRPr="006A3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1EE"/>
    <w:multiLevelType w:val="multilevel"/>
    <w:tmpl w:val="62C81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C445F"/>
    <w:multiLevelType w:val="multilevel"/>
    <w:tmpl w:val="8070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1768F"/>
    <w:multiLevelType w:val="multilevel"/>
    <w:tmpl w:val="193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90BBA"/>
    <w:multiLevelType w:val="multilevel"/>
    <w:tmpl w:val="22A2E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12A07"/>
    <w:multiLevelType w:val="multilevel"/>
    <w:tmpl w:val="F28C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0204B"/>
    <w:multiLevelType w:val="multilevel"/>
    <w:tmpl w:val="1000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94"/>
    <w:rsid w:val="006A3F94"/>
    <w:rsid w:val="00A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2255-9A64-4935-B9DB-0393F19A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9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2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ticheeuropee.gov.it/media/5929/bando-concorso-leuropa-e-nelle-tue-mani_dpe-mi_as2021-2022.pdf" TargetMode="External"/><Relationship Id="rId5" Type="http://schemas.openxmlformats.org/officeDocument/2006/relationships/hyperlink" Target="https://www.politicheeuropee.gov.it/media/5929/bando-concorso-leuropa-e-nelle-tue-mani_dpe-mi_as2021-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2021-10-20T17:22:00Z</dcterms:created>
  <dcterms:modified xsi:type="dcterms:W3CDTF">2021-10-20T17:23:00Z</dcterms:modified>
</cp:coreProperties>
</file>