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E51" w:rsidRPr="003D1E51" w:rsidRDefault="003D1E51" w:rsidP="003D1E51">
      <w:pPr>
        <w:shd w:val="clear" w:color="auto" w:fill="FFFFFF"/>
        <w:spacing w:after="0" w:line="525" w:lineRule="atLeast"/>
        <w:outlineLvl w:val="0"/>
        <w:rPr>
          <w:rFonts w:ascii="Tahoma" w:eastAsia="Times New Roman" w:hAnsi="Tahoma" w:cs="Tahoma"/>
          <w:color w:val="DC3B33"/>
          <w:kern w:val="36"/>
          <w:sz w:val="45"/>
          <w:szCs w:val="45"/>
          <w:lang w:eastAsia="it-IT"/>
        </w:rPr>
      </w:pPr>
      <w:r w:rsidRPr="003D1E51">
        <w:rPr>
          <w:rFonts w:ascii="Tahoma" w:eastAsia="Times New Roman" w:hAnsi="Tahoma" w:cs="Tahoma"/>
          <w:color w:val="DC3B33"/>
          <w:kern w:val="36"/>
          <w:sz w:val="45"/>
          <w:szCs w:val="45"/>
          <w:lang w:eastAsia="it-IT"/>
        </w:rPr>
        <w:t>Scuola, tavolo permanente Protocollo sicurezza: secondo incontro Mi/sindacati</w:t>
      </w:r>
    </w:p>
    <w:p w:rsidR="003D1E51" w:rsidRPr="003D1E51" w:rsidRDefault="003D1E51" w:rsidP="003D1E51">
      <w:pPr>
        <w:shd w:val="clear" w:color="auto" w:fill="FFFFFF"/>
        <w:spacing w:before="75" w:after="75" w:line="240" w:lineRule="auto"/>
        <w:outlineLvl w:val="3"/>
        <w:rPr>
          <w:rFonts w:ascii="Arial" w:eastAsia="Times New Roman" w:hAnsi="Arial" w:cs="Arial"/>
          <w:color w:val="535353"/>
          <w:sz w:val="27"/>
          <w:szCs w:val="27"/>
          <w:lang w:eastAsia="it-IT"/>
        </w:rPr>
      </w:pPr>
      <w:r w:rsidRPr="003D1E51">
        <w:rPr>
          <w:rFonts w:ascii="Arial" w:eastAsia="Times New Roman" w:hAnsi="Arial" w:cs="Arial"/>
          <w:color w:val="535353"/>
          <w:sz w:val="27"/>
          <w:szCs w:val="27"/>
          <w:lang w:eastAsia="it-IT"/>
        </w:rPr>
        <w:t>Attivato un gruppo di lavoro Ministero della Salute e Istruzione. La FLC CGIL chiede un impegno politico per la proroga dei contratti “</w:t>
      </w:r>
      <w:proofErr w:type="spellStart"/>
      <w:r w:rsidRPr="003D1E51">
        <w:rPr>
          <w:rFonts w:ascii="Arial" w:eastAsia="Times New Roman" w:hAnsi="Arial" w:cs="Arial"/>
          <w:color w:val="535353"/>
          <w:sz w:val="27"/>
          <w:szCs w:val="27"/>
          <w:lang w:eastAsia="it-IT"/>
        </w:rPr>
        <w:t>Covid</w:t>
      </w:r>
      <w:proofErr w:type="spellEnd"/>
      <w:r w:rsidRPr="003D1E51">
        <w:rPr>
          <w:rFonts w:ascii="Arial" w:eastAsia="Times New Roman" w:hAnsi="Arial" w:cs="Arial"/>
          <w:color w:val="535353"/>
          <w:sz w:val="27"/>
          <w:szCs w:val="27"/>
          <w:lang w:eastAsia="it-IT"/>
        </w:rPr>
        <w:t xml:space="preserve"> </w:t>
      </w:r>
      <w:proofErr w:type="gramStart"/>
      <w:r w:rsidRPr="003D1E51">
        <w:rPr>
          <w:rFonts w:ascii="Arial" w:eastAsia="Times New Roman" w:hAnsi="Arial" w:cs="Arial"/>
          <w:color w:val="535353"/>
          <w:sz w:val="27"/>
          <w:szCs w:val="27"/>
          <w:lang w:eastAsia="it-IT"/>
        </w:rPr>
        <w:t>“ al</w:t>
      </w:r>
      <w:proofErr w:type="gramEnd"/>
      <w:r w:rsidRPr="003D1E51">
        <w:rPr>
          <w:rFonts w:ascii="Arial" w:eastAsia="Times New Roman" w:hAnsi="Arial" w:cs="Arial"/>
          <w:color w:val="535353"/>
          <w:sz w:val="27"/>
          <w:szCs w:val="27"/>
          <w:lang w:eastAsia="it-IT"/>
        </w:rPr>
        <w:t xml:space="preserve"> 30 giugno 2022. Il MI si impegna a superare le disfunzionalità del Sidi. Entro il mese di ottobre la consegna dei dati sull’andamento dell’epidemia </w:t>
      </w:r>
      <w:proofErr w:type="spellStart"/>
      <w:r w:rsidRPr="003D1E51">
        <w:rPr>
          <w:rFonts w:ascii="Arial" w:eastAsia="Times New Roman" w:hAnsi="Arial" w:cs="Arial"/>
          <w:color w:val="535353"/>
          <w:sz w:val="27"/>
          <w:szCs w:val="27"/>
          <w:lang w:eastAsia="it-IT"/>
        </w:rPr>
        <w:t>Covid</w:t>
      </w:r>
      <w:proofErr w:type="spellEnd"/>
      <w:r w:rsidRPr="003D1E51">
        <w:rPr>
          <w:rFonts w:ascii="Arial" w:eastAsia="Times New Roman" w:hAnsi="Arial" w:cs="Arial"/>
          <w:color w:val="535353"/>
          <w:sz w:val="27"/>
          <w:szCs w:val="27"/>
          <w:lang w:eastAsia="it-IT"/>
        </w:rPr>
        <w:t>.</w:t>
      </w:r>
    </w:p>
    <w:p w:rsidR="003D1E51" w:rsidRPr="003D1E51" w:rsidRDefault="003D1E51" w:rsidP="003D1E51">
      <w:pPr>
        <w:shd w:val="clear" w:color="auto" w:fill="FFFFFF"/>
        <w:spacing w:after="225" w:line="240" w:lineRule="auto"/>
        <w:jc w:val="both"/>
        <w:rPr>
          <w:rFonts w:ascii="Arial" w:eastAsia="Times New Roman" w:hAnsi="Arial" w:cs="Arial"/>
          <w:color w:val="000000"/>
          <w:sz w:val="21"/>
          <w:szCs w:val="21"/>
          <w:lang w:eastAsia="it-IT"/>
        </w:rPr>
      </w:pPr>
      <w:bookmarkStart w:id="0" w:name="fb_share"/>
      <w:bookmarkStart w:id="1" w:name="_GoBack"/>
      <w:bookmarkEnd w:id="1"/>
      <w:r w:rsidRPr="003D1E51">
        <w:rPr>
          <w:rFonts w:ascii="Arial" w:eastAsia="Times New Roman" w:hAnsi="Arial" w:cs="Arial"/>
          <w:color w:val="000000"/>
          <w:sz w:val="21"/>
          <w:szCs w:val="21"/>
          <w:lang w:eastAsia="it-IT"/>
        </w:rPr>
        <w:t>Il 6 ottobre 2021, a seguito della </w:t>
      </w:r>
      <w:hyperlink r:id="rId5" w:tgtFrame="_blank" w:history="1">
        <w:r w:rsidRPr="003D1E51">
          <w:rPr>
            <w:rFonts w:ascii="Arial" w:eastAsia="Times New Roman" w:hAnsi="Arial" w:cs="Arial"/>
            <w:color w:val="005EB3"/>
            <w:sz w:val="21"/>
            <w:szCs w:val="21"/>
            <w:u w:val="single"/>
            <w:lang w:eastAsia="it-IT"/>
          </w:rPr>
          <w:t>richiesta unitaria</w:t>
        </w:r>
      </w:hyperlink>
      <w:r w:rsidRPr="003D1E51">
        <w:rPr>
          <w:rFonts w:ascii="Arial" w:eastAsia="Times New Roman" w:hAnsi="Arial" w:cs="Arial"/>
          <w:color w:val="000000"/>
          <w:sz w:val="21"/>
          <w:szCs w:val="21"/>
          <w:lang w:eastAsia="it-IT"/>
        </w:rPr>
        <w:t> inviata il 25 settembre 2021, si è tenuto l’</w:t>
      </w:r>
      <w:r w:rsidRPr="003D1E51">
        <w:rPr>
          <w:rFonts w:ascii="Arial" w:eastAsia="Times New Roman" w:hAnsi="Arial" w:cs="Arial"/>
          <w:b/>
          <w:bCs/>
          <w:color w:val="000000"/>
          <w:sz w:val="21"/>
          <w:szCs w:val="21"/>
          <w:lang w:eastAsia="it-IT"/>
        </w:rPr>
        <w:t>incontro del tavolo nazionale permanente</w:t>
      </w:r>
      <w:r w:rsidRPr="003D1E51">
        <w:rPr>
          <w:rFonts w:ascii="Arial" w:eastAsia="Times New Roman" w:hAnsi="Arial" w:cs="Arial"/>
          <w:color w:val="000000"/>
          <w:sz w:val="21"/>
          <w:szCs w:val="21"/>
          <w:lang w:eastAsia="it-IT"/>
        </w:rPr>
        <w:t> previsto dal </w:t>
      </w:r>
      <w:hyperlink r:id="rId6" w:tgtFrame="_blank" w:history="1">
        <w:r w:rsidRPr="003D1E51">
          <w:rPr>
            <w:rFonts w:ascii="Arial" w:eastAsia="Times New Roman" w:hAnsi="Arial" w:cs="Arial"/>
            <w:color w:val="005EB3"/>
            <w:sz w:val="21"/>
            <w:szCs w:val="21"/>
            <w:u w:val="single"/>
            <w:lang w:eastAsia="it-IT"/>
          </w:rPr>
          <w:t>Protocollo di sicurezza</w:t>
        </w:r>
      </w:hyperlink>
      <w:r w:rsidRPr="003D1E51">
        <w:rPr>
          <w:rFonts w:ascii="Arial" w:eastAsia="Times New Roman" w:hAnsi="Arial" w:cs="Arial"/>
          <w:color w:val="000000"/>
          <w:sz w:val="21"/>
          <w:szCs w:val="21"/>
          <w:lang w:eastAsia="it-IT"/>
        </w:rPr>
        <w:t> sottoscritto il 14 agosto 2021.</w:t>
      </w:r>
    </w:p>
    <w:p w:rsidR="003D1E51" w:rsidRPr="003D1E51" w:rsidRDefault="003D1E51" w:rsidP="003D1E51">
      <w:pPr>
        <w:shd w:val="clear" w:color="auto" w:fill="FFFFFF"/>
        <w:spacing w:after="225" w:line="240" w:lineRule="auto"/>
        <w:jc w:val="both"/>
        <w:rPr>
          <w:rFonts w:ascii="Arial" w:eastAsia="Times New Roman" w:hAnsi="Arial" w:cs="Arial"/>
          <w:color w:val="000000"/>
          <w:sz w:val="21"/>
          <w:szCs w:val="21"/>
          <w:lang w:eastAsia="it-IT"/>
        </w:rPr>
      </w:pPr>
      <w:r w:rsidRPr="003D1E51">
        <w:rPr>
          <w:rFonts w:ascii="Arial" w:eastAsia="Times New Roman" w:hAnsi="Arial" w:cs="Arial"/>
          <w:color w:val="000000"/>
          <w:sz w:val="21"/>
          <w:szCs w:val="21"/>
          <w:lang w:eastAsia="it-IT"/>
        </w:rPr>
        <w:t xml:space="preserve">L’incontro, che si è svolto alla presenza dei segretari generali delle organizzazioni sindacali firmatarie, è stato coordinato dal Dott. Iacopo Greco, Capo Dipartimento delle Risorse umane e finanziarie del Ministero, alla presenza del Capo Dipartimento per il sistema educativo di istruzione e formazione, Dott. Stefano </w:t>
      </w:r>
      <w:proofErr w:type="spellStart"/>
      <w:r w:rsidRPr="003D1E51">
        <w:rPr>
          <w:rFonts w:ascii="Arial" w:eastAsia="Times New Roman" w:hAnsi="Arial" w:cs="Arial"/>
          <w:color w:val="000000"/>
          <w:sz w:val="21"/>
          <w:szCs w:val="21"/>
          <w:lang w:eastAsia="it-IT"/>
        </w:rPr>
        <w:t>Versari</w:t>
      </w:r>
      <w:proofErr w:type="spellEnd"/>
      <w:r w:rsidRPr="003D1E51">
        <w:rPr>
          <w:rFonts w:ascii="Arial" w:eastAsia="Times New Roman" w:hAnsi="Arial" w:cs="Arial"/>
          <w:color w:val="000000"/>
          <w:sz w:val="21"/>
          <w:szCs w:val="21"/>
          <w:lang w:eastAsia="it-IT"/>
        </w:rPr>
        <w:t xml:space="preserve"> e del Dott. Pasqualino Rossi in rappresentanza del Ministero della Salute.</w:t>
      </w:r>
    </w:p>
    <w:p w:rsidR="003D1E51" w:rsidRPr="003D1E51" w:rsidRDefault="003D1E51" w:rsidP="003D1E51">
      <w:pPr>
        <w:shd w:val="clear" w:color="auto" w:fill="FFFFFF"/>
        <w:spacing w:after="225" w:line="240" w:lineRule="auto"/>
        <w:jc w:val="both"/>
        <w:rPr>
          <w:rFonts w:ascii="Arial" w:eastAsia="Times New Roman" w:hAnsi="Arial" w:cs="Arial"/>
          <w:color w:val="000000"/>
          <w:sz w:val="21"/>
          <w:szCs w:val="21"/>
          <w:lang w:eastAsia="it-IT"/>
        </w:rPr>
      </w:pPr>
      <w:r w:rsidRPr="003D1E51">
        <w:rPr>
          <w:rFonts w:ascii="Arial" w:eastAsia="Times New Roman" w:hAnsi="Arial" w:cs="Arial"/>
          <w:color w:val="000000"/>
          <w:sz w:val="21"/>
          <w:szCs w:val="21"/>
          <w:lang w:eastAsia="it-IT"/>
        </w:rPr>
        <w:t>Il MI ha annunciato l’aggiornamento del sistema informatico relativo al monitoraggio dei contagi nelle scuole e l’istituzione di un gruppo di lavoro congiunto tra i Ministeri dell’Istruzione e della Salute al fine di uniformare i comportamenti delle Asl su tutto il territorio nazionale. Il Dott. Pasqualino Rossi, in rappresentanza del Ministero della Salute, ha riferito che un imminente provvedimento fornirà alle scuole risposte univoche alle scuole rispetto ai tempi delle quarantene indicate dalle Autorità sanitarie locali e alla gestione dei casi di positività.</w:t>
      </w:r>
    </w:p>
    <w:p w:rsidR="003D1E51" w:rsidRPr="003D1E51" w:rsidRDefault="003D1E51" w:rsidP="003D1E51">
      <w:pPr>
        <w:shd w:val="clear" w:color="auto" w:fill="FFFFFF"/>
        <w:spacing w:after="225" w:line="240" w:lineRule="auto"/>
        <w:jc w:val="both"/>
        <w:rPr>
          <w:rFonts w:ascii="Arial" w:eastAsia="Times New Roman" w:hAnsi="Arial" w:cs="Arial"/>
          <w:color w:val="000000"/>
          <w:sz w:val="21"/>
          <w:szCs w:val="21"/>
          <w:lang w:eastAsia="it-IT"/>
        </w:rPr>
      </w:pPr>
      <w:r w:rsidRPr="003D1E51">
        <w:rPr>
          <w:rFonts w:ascii="Arial" w:eastAsia="Times New Roman" w:hAnsi="Arial" w:cs="Arial"/>
          <w:color w:val="000000"/>
          <w:sz w:val="21"/>
          <w:szCs w:val="21"/>
          <w:lang w:eastAsia="it-IT"/>
        </w:rPr>
        <w:t>Il segretario generale della FLC CGIL, </w:t>
      </w:r>
      <w:r w:rsidRPr="003D1E51">
        <w:rPr>
          <w:rFonts w:ascii="Arial" w:eastAsia="Times New Roman" w:hAnsi="Arial" w:cs="Arial"/>
          <w:b/>
          <w:bCs/>
          <w:color w:val="000000"/>
          <w:sz w:val="21"/>
          <w:szCs w:val="21"/>
          <w:lang w:eastAsia="it-IT"/>
        </w:rPr>
        <w:t>Francesco Sinopoli</w:t>
      </w:r>
      <w:r w:rsidRPr="003D1E51">
        <w:rPr>
          <w:rFonts w:ascii="Arial" w:eastAsia="Times New Roman" w:hAnsi="Arial" w:cs="Arial"/>
          <w:color w:val="000000"/>
          <w:sz w:val="21"/>
          <w:szCs w:val="21"/>
          <w:lang w:eastAsia="it-IT"/>
        </w:rPr>
        <w:t>, nel suo intervento ha posto con chiarezza l’esigenza di </w:t>
      </w:r>
      <w:r w:rsidRPr="003D1E51">
        <w:rPr>
          <w:rFonts w:ascii="Arial" w:eastAsia="Times New Roman" w:hAnsi="Arial" w:cs="Arial"/>
          <w:b/>
          <w:bCs/>
          <w:color w:val="000000"/>
          <w:sz w:val="21"/>
          <w:szCs w:val="21"/>
          <w:lang w:eastAsia="it-IT"/>
        </w:rPr>
        <w:t>investire ulteriori risorse per dare stabilità didattica e organizzativa alle scuole prorogando l’attuale scadenza dei contratti “</w:t>
      </w:r>
      <w:proofErr w:type="spellStart"/>
      <w:r w:rsidRPr="003D1E51">
        <w:rPr>
          <w:rFonts w:ascii="Arial" w:eastAsia="Times New Roman" w:hAnsi="Arial" w:cs="Arial"/>
          <w:b/>
          <w:bCs/>
          <w:color w:val="000000"/>
          <w:sz w:val="21"/>
          <w:szCs w:val="21"/>
          <w:lang w:eastAsia="it-IT"/>
        </w:rPr>
        <w:t>covid</w:t>
      </w:r>
      <w:proofErr w:type="spellEnd"/>
      <w:r w:rsidRPr="003D1E51">
        <w:rPr>
          <w:rFonts w:ascii="Arial" w:eastAsia="Times New Roman" w:hAnsi="Arial" w:cs="Arial"/>
          <w:b/>
          <w:bCs/>
          <w:color w:val="000000"/>
          <w:sz w:val="21"/>
          <w:szCs w:val="21"/>
          <w:lang w:eastAsia="it-IT"/>
        </w:rPr>
        <w:t>” dal 30 dicembre 2021 al 30 giugno 2022. </w:t>
      </w:r>
      <w:r w:rsidRPr="003D1E51">
        <w:rPr>
          <w:rFonts w:ascii="Arial" w:eastAsia="Times New Roman" w:hAnsi="Arial" w:cs="Arial"/>
          <w:color w:val="000000"/>
          <w:sz w:val="21"/>
          <w:szCs w:val="21"/>
          <w:lang w:eastAsia="it-IT"/>
        </w:rPr>
        <w:t>A tal fine è stata chiesta una ulteriore interlocuzione con il livello politico del Ministero, affinché si possa concretizzare tale impegno così come definito nel protocollo Di seguito, in coerenza a quanto la FLC CGIL ribadisce ormai da due anni, ha richiesto </w:t>
      </w:r>
      <w:r w:rsidRPr="003D1E51">
        <w:rPr>
          <w:rFonts w:ascii="Arial" w:eastAsia="Times New Roman" w:hAnsi="Arial" w:cs="Arial"/>
          <w:b/>
          <w:bCs/>
          <w:color w:val="000000"/>
          <w:sz w:val="21"/>
          <w:szCs w:val="21"/>
          <w:lang w:eastAsia="it-IT"/>
        </w:rPr>
        <w:t>i dati relativi ai contagi e quelli rilevati dallo screening oggi previsto dalla struttura commissariale</w:t>
      </w:r>
      <w:r w:rsidRPr="003D1E51">
        <w:rPr>
          <w:rFonts w:ascii="Arial" w:eastAsia="Times New Roman" w:hAnsi="Arial" w:cs="Arial"/>
          <w:color w:val="000000"/>
          <w:sz w:val="21"/>
          <w:szCs w:val="21"/>
          <w:lang w:eastAsia="it-IT"/>
        </w:rPr>
        <w:t>. Il Segretario Generale ha inoltre denunciato </w:t>
      </w:r>
      <w:r w:rsidRPr="003D1E51">
        <w:rPr>
          <w:rFonts w:ascii="Arial" w:eastAsia="Times New Roman" w:hAnsi="Arial" w:cs="Arial"/>
          <w:b/>
          <w:bCs/>
          <w:color w:val="000000"/>
          <w:sz w:val="21"/>
          <w:szCs w:val="21"/>
          <w:lang w:eastAsia="it-IT"/>
        </w:rPr>
        <w:t>due gravi carenze del SIDI che ancora non prevede i codici identificativi per le assenze dei lavoratori “fragili” e per l’inserimento al sistema dei contratti “</w:t>
      </w:r>
      <w:proofErr w:type="spellStart"/>
      <w:r w:rsidRPr="003D1E51">
        <w:rPr>
          <w:rFonts w:ascii="Arial" w:eastAsia="Times New Roman" w:hAnsi="Arial" w:cs="Arial"/>
          <w:b/>
          <w:bCs/>
          <w:color w:val="000000"/>
          <w:sz w:val="21"/>
          <w:szCs w:val="21"/>
          <w:lang w:eastAsia="it-IT"/>
        </w:rPr>
        <w:t>covid</w:t>
      </w:r>
      <w:proofErr w:type="spellEnd"/>
      <w:r w:rsidRPr="003D1E51">
        <w:rPr>
          <w:rFonts w:ascii="Arial" w:eastAsia="Times New Roman" w:hAnsi="Arial" w:cs="Arial"/>
          <w:b/>
          <w:bCs/>
          <w:color w:val="000000"/>
          <w:sz w:val="21"/>
          <w:szCs w:val="21"/>
          <w:lang w:eastAsia="it-IT"/>
        </w:rPr>
        <w:t>”.</w:t>
      </w:r>
      <w:r w:rsidRPr="003D1E51">
        <w:rPr>
          <w:rFonts w:ascii="Arial" w:eastAsia="Times New Roman" w:hAnsi="Arial" w:cs="Arial"/>
          <w:color w:val="000000"/>
          <w:sz w:val="21"/>
          <w:szCs w:val="21"/>
          <w:lang w:eastAsia="it-IT"/>
        </w:rPr>
        <w:t> Ha inoltre denunciato la mancata attivazione in </w:t>
      </w:r>
      <w:r w:rsidRPr="003D1E51">
        <w:rPr>
          <w:rFonts w:ascii="Arial" w:eastAsia="Times New Roman" w:hAnsi="Arial" w:cs="Arial"/>
          <w:b/>
          <w:bCs/>
          <w:color w:val="000000"/>
          <w:sz w:val="21"/>
          <w:szCs w:val="21"/>
          <w:lang w:eastAsia="it-IT"/>
        </w:rPr>
        <w:t>diversi Uffici Scolastici Regionali dei tavoli previsti dal Protocollo</w:t>
      </w:r>
      <w:r w:rsidRPr="003D1E51">
        <w:rPr>
          <w:rFonts w:ascii="Arial" w:eastAsia="Times New Roman" w:hAnsi="Arial" w:cs="Arial"/>
          <w:color w:val="000000"/>
          <w:sz w:val="21"/>
          <w:szCs w:val="21"/>
          <w:lang w:eastAsia="it-IT"/>
        </w:rPr>
        <w:t>.</w:t>
      </w:r>
    </w:p>
    <w:p w:rsidR="003D1E51" w:rsidRPr="003D1E51" w:rsidRDefault="003D1E51" w:rsidP="003D1E51">
      <w:pPr>
        <w:shd w:val="clear" w:color="auto" w:fill="FFFFFF"/>
        <w:spacing w:after="225" w:line="240" w:lineRule="auto"/>
        <w:jc w:val="both"/>
        <w:rPr>
          <w:rFonts w:ascii="Arial" w:eastAsia="Times New Roman" w:hAnsi="Arial" w:cs="Arial"/>
          <w:color w:val="000000"/>
          <w:sz w:val="21"/>
          <w:szCs w:val="21"/>
          <w:lang w:eastAsia="it-IT"/>
        </w:rPr>
      </w:pPr>
      <w:r w:rsidRPr="003D1E51">
        <w:rPr>
          <w:rFonts w:ascii="Arial" w:eastAsia="Times New Roman" w:hAnsi="Arial" w:cs="Arial"/>
          <w:color w:val="000000"/>
          <w:sz w:val="21"/>
          <w:szCs w:val="21"/>
          <w:lang w:eastAsia="it-IT"/>
        </w:rPr>
        <w:t xml:space="preserve">Il Dott. Iacopo Greco, sollecitato dalla FLC CGIL, si è impegnato a intervenire per risolvere le disfunzioni procedurali e a consegnare i dati acquisiti dal nuovo sistema di monitoraggio entro il mese di ottobre. Il Capo Dipartimento per il sistema educativo di istruzione e formazione, Dott. Stefano </w:t>
      </w:r>
      <w:proofErr w:type="spellStart"/>
      <w:r w:rsidRPr="003D1E51">
        <w:rPr>
          <w:rFonts w:ascii="Arial" w:eastAsia="Times New Roman" w:hAnsi="Arial" w:cs="Arial"/>
          <w:color w:val="000000"/>
          <w:sz w:val="21"/>
          <w:szCs w:val="21"/>
          <w:lang w:eastAsia="it-IT"/>
        </w:rPr>
        <w:t>Versari</w:t>
      </w:r>
      <w:proofErr w:type="spellEnd"/>
      <w:r w:rsidRPr="003D1E51">
        <w:rPr>
          <w:rFonts w:ascii="Arial" w:eastAsia="Times New Roman" w:hAnsi="Arial" w:cs="Arial"/>
          <w:color w:val="000000"/>
          <w:sz w:val="21"/>
          <w:szCs w:val="21"/>
          <w:lang w:eastAsia="it-IT"/>
        </w:rPr>
        <w:t xml:space="preserve"> si è impegnato a prevedere insieme ai responsabili degli Uffici Scolastici Regionali linee di condotta più uniformi ed efficaci. Infine il dott. Greco ha confermato l’impegno del Ministro a sostenere in sede di approvazione della legge di bilancio 2022 il prolungamento della durata dei contratti “</w:t>
      </w:r>
      <w:proofErr w:type="spellStart"/>
      <w:r w:rsidRPr="003D1E51">
        <w:rPr>
          <w:rFonts w:ascii="Arial" w:eastAsia="Times New Roman" w:hAnsi="Arial" w:cs="Arial"/>
          <w:color w:val="000000"/>
          <w:sz w:val="21"/>
          <w:szCs w:val="21"/>
          <w:lang w:eastAsia="it-IT"/>
        </w:rPr>
        <w:t>Covid</w:t>
      </w:r>
      <w:proofErr w:type="spellEnd"/>
      <w:r w:rsidRPr="003D1E51">
        <w:rPr>
          <w:rFonts w:ascii="Arial" w:eastAsia="Times New Roman" w:hAnsi="Arial" w:cs="Arial"/>
          <w:color w:val="000000"/>
          <w:sz w:val="21"/>
          <w:szCs w:val="21"/>
          <w:lang w:eastAsia="it-IT"/>
        </w:rPr>
        <w:t xml:space="preserve"> oltre il 30 dicembre.</w:t>
      </w:r>
    </w:p>
    <w:p w:rsidR="003D1E51" w:rsidRPr="003D1E51" w:rsidRDefault="003D1E51" w:rsidP="003D1E51">
      <w:pPr>
        <w:shd w:val="clear" w:color="auto" w:fill="FFFFFF"/>
        <w:spacing w:after="225" w:line="240" w:lineRule="auto"/>
        <w:jc w:val="both"/>
        <w:rPr>
          <w:rFonts w:ascii="Arial" w:eastAsia="Times New Roman" w:hAnsi="Arial" w:cs="Arial"/>
          <w:color w:val="000000"/>
          <w:sz w:val="21"/>
          <w:szCs w:val="21"/>
          <w:lang w:eastAsia="it-IT"/>
        </w:rPr>
      </w:pPr>
      <w:r w:rsidRPr="003D1E51">
        <w:rPr>
          <w:rFonts w:ascii="Arial" w:eastAsia="Times New Roman" w:hAnsi="Arial" w:cs="Arial"/>
          <w:color w:val="000000"/>
          <w:sz w:val="21"/>
          <w:szCs w:val="21"/>
          <w:lang w:eastAsia="it-IT"/>
        </w:rPr>
        <w:t>Il segretario generale ha ribadito la necessità della puntuale applicazione delle indicazioni contenute nel Protocollo Sicurezza, richiamando la responsabilità dei vari livelli dell’amministrazione scolastica a garantire la necessaria uniformità di comportamento degli Uffici Scolastici Regionali e delle autorità sanitarie rispetto ai tempi previsti per le quarantene. Infine, ha auspicato l’intervento decisivo del Ministro e del governo per garantire con concreti impegni di spesa il funzionamento della scuola in presenza in sicurezza.</w:t>
      </w:r>
      <w:bookmarkEnd w:id="0"/>
    </w:p>
    <w:sectPr w:rsidR="003D1E51" w:rsidRPr="003D1E5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12D1C"/>
    <w:multiLevelType w:val="multilevel"/>
    <w:tmpl w:val="9B94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8A0FFD"/>
    <w:multiLevelType w:val="multilevel"/>
    <w:tmpl w:val="1624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E51"/>
    <w:rsid w:val="003D1E51"/>
    <w:rsid w:val="00D475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0024E-FDF2-4C58-8C40-9057ECD5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22143">
      <w:bodyDiv w:val="1"/>
      <w:marLeft w:val="0"/>
      <w:marRight w:val="0"/>
      <w:marTop w:val="0"/>
      <w:marBottom w:val="0"/>
      <w:divBdr>
        <w:top w:val="none" w:sz="0" w:space="0" w:color="auto"/>
        <w:left w:val="none" w:sz="0" w:space="0" w:color="auto"/>
        <w:bottom w:val="none" w:sz="0" w:space="0" w:color="auto"/>
        <w:right w:val="none" w:sz="0" w:space="0" w:color="auto"/>
      </w:divBdr>
      <w:divsChild>
        <w:div w:id="756248073">
          <w:marLeft w:val="300"/>
          <w:marRight w:val="300"/>
          <w:marTop w:val="0"/>
          <w:marBottom w:val="0"/>
          <w:divBdr>
            <w:top w:val="none" w:sz="0" w:space="0" w:color="auto"/>
            <w:left w:val="none" w:sz="0" w:space="0" w:color="auto"/>
            <w:bottom w:val="none" w:sz="0" w:space="0" w:color="auto"/>
            <w:right w:val="none" w:sz="0" w:space="0" w:color="auto"/>
          </w:divBdr>
          <w:divsChild>
            <w:div w:id="64959162">
              <w:marLeft w:val="0"/>
              <w:marRight w:val="0"/>
              <w:marTop w:val="0"/>
              <w:marBottom w:val="0"/>
              <w:divBdr>
                <w:top w:val="none" w:sz="0" w:space="0" w:color="auto"/>
                <w:left w:val="none" w:sz="0" w:space="0" w:color="auto"/>
                <w:bottom w:val="none" w:sz="0" w:space="0" w:color="auto"/>
                <w:right w:val="none" w:sz="0" w:space="0" w:color="auto"/>
              </w:divBdr>
              <w:divsChild>
                <w:div w:id="701829378">
                  <w:marLeft w:val="0"/>
                  <w:marRight w:val="0"/>
                  <w:marTop w:val="150"/>
                  <w:marBottom w:val="150"/>
                  <w:divBdr>
                    <w:top w:val="none" w:sz="0" w:space="0" w:color="auto"/>
                    <w:left w:val="none" w:sz="0" w:space="0" w:color="auto"/>
                    <w:bottom w:val="single" w:sz="6" w:space="0" w:color="CCCCCC"/>
                    <w:right w:val="none" w:sz="0" w:space="0" w:color="auto"/>
                  </w:divBdr>
                  <w:divsChild>
                    <w:div w:id="1505970059">
                      <w:marLeft w:val="0"/>
                      <w:marRight w:val="0"/>
                      <w:marTop w:val="0"/>
                      <w:marBottom w:val="0"/>
                      <w:divBdr>
                        <w:top w:val="none" w:sz="0" w:space="0" w:color="auto"/>
                        <w:left w:val="none" w:sz="0" w:space="0" w:color="auto"/>
                        <w:bottom w:val="none" w:sz="0" w:space="0" w:color="auto"/>
                        <w:right w:val="none" w:sz="0" w:space="0" w:color="auto"/>
                      </w:divBdr>
                    </w:div>
                  </w:divsChild>
                </w:div>
                <w:div w:id="2053265623">
                  <w:marLeft w:val="0"/>
                  <w:marRight w:val="0"/>
                  <w:marTop w:val="0"/>
                  <w:marBottom w:val="0"/>
                  <w:divBdr>
                    <w:top w:val="none" w:sz="0" w:space="0" w:color="auto"/>
                    <w:left w:val="none" w:sz="0" w:space="0" w:color="auto"/>
                    <w:bottom w:val="none" w:sz="0" w:space="0" w:color="auto"/>
                    <w:right w:val="none" w:sz="0" w:space="0" w:color="auto"/>
                  </w:divBdr>
                  <w:divsChild>
                    <w:div w:id="79063234">
                      <w:marLeft w:val="0"/>
                      <w:marRight w:val="0"/>
                      <w:marTop w:val="0"/>
                      <w:marBottom w:val="0"/>
                      <w:divBdr>
                        <w:top w:val="none" w:sz="0" w:space="0" w:color="auto"/>
                        <w:left w:val="none" w:sz="0" w:space="0" w:color="auto"/>
                        <w:bottom w:val="none" w:sz="0" w:space="0" w:color="auto"/>
                        <w:right w:val="none" w:sz="0" w:space="0" w:color="auto"/>
                      </w:divBdr>
                    </w:div>
                    <w:div w:id="226650337">
                      <w:marLeft w:val="300"/>
                      <w:marRight w:val="150"/>
                      <w:marTop w:val="75"/>
                      <w:marBottom w:val="0"/>
                      <w:divBdr>
                        <w:top w:val="none" w:sz="0" w:space="0" w:color="auto"/>
                        <w:left w:val="none" w:sz="0" w:space="0" w:color="auto"/>
                        <w:bottom w:val="none" w:sz="0" w:space="0" w:color="auto"/>
                        <w:right w:val="none" w:sz="0" w:space="0" w:color="auto"/>
                      </w:divBdr>
                    </w:div>
                    <w:div w:id="578638029">
                      <w:marLeft w:val="300"/>
                      <w:marRight w:val="150"/>
                      <w:marTop w:val="75"/>
                      <w:marBottom w:val="0"/>
                      <w:divBdr>
                        <w:top w:val="none" w:sz="0" w:space="0" w:color="auto"/>
                        <w:left w:val="none" w:sz="0" w:space="0" w:color="auto"/>
                        <w:bottom w:val="none" w:sz="0" w:space="0" w:color="auto"/>
                        <w:right w:val="none" w:sz="0" w:space="0" w:color="auto"/>
                      </w:divBdr>
                    </w:div>
                  </w:divsChild>
                </w:div>
                <w:div w:id="448864051">
                  <w:marLeft w:val="0"/>
                  <w:marRight w:val="0"/>
                  <w:marTop w:val="75"/>
                  <w:marBottom w:val="150"/>
                  <w:divBdr>
                    <w:top w:val="none" w:sz="0" w:space="0" w:color="auto"/>
                    <w:left w:val="none" w:sz="0" w:space="0" w:color="auto"/>
                    <w:bottom w:val="none" w:sz="0" w:space="0" w:color="auto"/>
                    <w:right w:val="none" w:sz="0" w:space="0" w:color="auto"/>
                  </w:divBdr>
                  <w:divsChild>
                    <w:div w:id="913472888">
                      <w:marLeft w:val="0"/>
                      <w:marRight w:val="0"/>
                      <w:marTop w:val="45"/>
                      <w:marBottom w:val="0"/>
                      <w:divBdr>
                        <w:top w:val="none" w:sz="0" w:space="0" w:color="auto"/>
                        <w:left w:val="single" w:sz="48" w:space="0" w:color="FFFFFF"/>
                        <w:bottom w:val="single" w:sz="48" w:space="0" w:color="FFFFFF"/>
                        <w:right w:val="none" w:sz="0" w:space="0" w:color="auto"/>
                      </w:divBdr>
                      <w:divsChild>
                        <w:div w:id="1327201704">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 w:id="1677028852">
                  <w:marLeft w:val="0"/>
                  <w:marRight w:val="0"/>
                  <w:marTop w:val="0"/>
                  <w:marBottom w:val="0"/>
                  <w:divBdr>
                    <w:top w:val="none" w:sz="0" w:space="0" w:color="auto"/>
                    <w:left w:val="none" w:sz="0" w:space="0" w:color="auto"/>
                    <w:bottom w:val="none" w:sz="0" w:space="0" w:color="auto"/>
                    <w:right w:val="none" w:sz="0" w:space="0" w:color="auto"/>
                  </w:divBdr>
                  <w:divsChild>
                    <w:div w:id="1945992196">
                      <w:marLeft w:val="0"/>
                      <w:marRight w:val="0"/>
                      <w:marTop w:val="0"/>
                      <w:marBottom w:val="0"/>
                      <w:divBdr>
                        <w:top w:val="none" w:sz="0" w:space="0" w:color="auto"/>
                        <w:left w:val="none" w:sz="0" w:space="0" w:color="auto"/>
                        <w:bottom w:val="none" w:sz="0" w:space="0" w:color="auto"/>
                        <w:right w:val="none" w:sz="0" w:space="0" w:color="auto"/>
                      </w:divBdr>
                    </w:div>
                    <w:div w:id="1512256184">
                      <w:marLeft w:val="300"/>
                      <w:marRight w:val="150"/>
                      <w:marTop w:val="75"/>
                      <w:marBottom w:val="0"/>
                      <w:divBdr>
                        <w:top w:val="none" w:sz="0" w:space="0" w:color="auto"/>
                        <w:left w:val="none" w:sz="0" w:space="0" w:color="auto"/>
                        <w:bottom w:val="none" w:sz="0" w:space="0" w:color="auto"/>
                        <w:right w:val="none" w:sz="0" w:space="0" w:color="auto"/>
                      </w:divBdr>
                    </w:div>
                    <w:div w:id="1557818455">
                      <w:marLeft w:val="300"/>
                      <w:marRight w:val="150"/>
                      <w:marTop w:val="75"/>
                      <w:marBottom w:val="0"/>
                      <w:divBdr>
                        <w:top w:val="none" w:sz="0" w:space="0" w:color="auto"/>
                        <w:left w:val="none" w:sz="0" w:space="0" w:color="auto"/>
                        <w:bottom w:val="none" w:sz="0" w:space="0" w:color="auto"/>
                        <w:right w:val="none" w:sz="0" w:space="0" w:color="auto"/>
                      </w:divBdr>
                    </w:div>
                  </w:divsChild>
                </w:div>
                <w:div w:id="1499885883">
                  <w:marLeft w:val="0"/>
                  <w:marRight w:val="0"/>
                  <w:marTop w:val="150"/>
                  <w:marBottom w:val="0"/>
                  <w:divBdr>
                    <w:top w:val="none" w:sz="0" w:space="0" w:color="auto"/>
                    <w:left w:val="none" w:sz="0" w:space="0" w:color="auto"/>
                    <w:bottom w:val="none" w:sz="0" w:space="0" w:color="auto"/>
                    <w:right w:val="none" w:sz="0" w:space="0" w:color="auto"/>
                  </w:divBdr>
                  <w:divsChild>
                    <w:div w:id="154647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042">
          <w:marLeft w:val="0"/>
          <w:marRight w:val="0"/>
          <w:marTop w:val="0"/>
          <w:marBottom w:val="0"/>
          <w:divBdr>
            <w:top w:val="none" w:sz="0" w:space="0" w:color="auto"/>
            <w:left w:val="none" w:sz="0" w:space="0" w:color="auto"/>
            <w:bottom w:val="none" w:sz="0" w:space="0" w:color="auto"/>
            <w:right w:val="none" w:sz="0" w:space="0" w:color="auto"/>
          </w:divBdr>
          <w:divsChild>
            <w:div w:id="83887928">
              <w:marLeft w:val="0"/>
              <w:marRight w:val="0"/>
              <w:marTop w:val="0"/>
              <w:marBottom w:val="150"/>
              <w:divBdr>
                <w:top w:val="none" w:sz="0" w:space="0" w:color="auto"/>
                <w:left w:val="none" w:sz="0" w:space="0" w:color="auto"/>
                <w:bottom w:val="none" w:sz="0" w:space="0" w:color="auto"/>
                <w:right w:val="none" w:sz="0" w:space="0" w:color="auto"/>
              </w:divBdr>
            </w:div>
            <w:div w:id="726151703">
              <w:marLeft w:val="0"/>
              <w:marRight w:val="0"/>
              <w:marTop w:val="0"/>
              <w:marBottom w:val="0"/>
              <w:divBdr>
                <w:top w:val="none" w:sz="0" w:space="0" w:color="auto"/>
                <w:left w:val="none" w:sz="0" w:space="0" w:color="auto"/>
                <w:bottom w:val="single" w:sz="6" w:space="8" w:color="D9D9D9"/>
                <w:right w:val="none" w:sz="0" w:space="0" w:color="auto"/>
              </w:divBdr>
              <w:divsChild>
                <w:div w:id="1818299651">
                  <w:marLeft w:val="150"/>
                  <w:marRight w:val="150"/>
                  <w:marTop w:val="0"/>
                  <w:marBottom w:val="150"/>
                  <w:divBdr>
                    <w:top w:val="none" w:sz="0" w:space="0" w:color="auto"/>
                    <w:left w:val="none" w:sz="0" w:space="0" w:color="auto"/>
                    <w:bottom w:val="none" w:sz="0" w:space="0" w:color="auto"/>
                    <w:right w:val="none" w:sz="0" w:space="0" w:color="auto"/>
                  </w:divBdr>
                </w:div>
              </w:divsChild>
            </w:div>
            <w:div w:id="1439987083">
              <w:marLeft w:val="0"/>
              <w:marRight w:val="0"/>
              <w:marTop w:val="0"/>
              <w:marBottom w:val="0"/>
              <w:divBdr>
                <w:top w:val="none" w:sz="0" w:space="0" w:color="auto"/>
                <w:left w:val="none" w:sz="0" w:space="0" w:color="auto"/>
                <w:bottom w:val="none" w:sz="0" w:space="0" w:color="auto"/>
                <w:right w:val="none" w:sz="0" w:space="0" w:color="auto"/>
              </w:divBdr>
            </w:div>
            <w:div w:id="1716268300">
              <w:marLeft w:val="0"/>
              <w:marRight w:val="0"/>
              <w:marTop w:val="0"/>
              <w:marBottom w:val="0"/>
              <w:divBdr>
                <w:top w:val="none" w:sz="0" w:space="0" w:color="auto"/>
                <w:left w:val="none" w:sz="0" w:space="0" w:color="auto"/>
                <w:bottom w:val="single" w:sz="6" w:space="8" w:color="D9D9D9"/>
                <w:right w:val="none" w:sz="0" w:space="0" w:color="auto"/>
              </w:divBdr>
              <w:divsChild>
                <w:div w:id="26640132">
                  <w:marLeft w:val="150"/>
                  <w:marRight w:val="150"/>
                  <w:marTop w:val="0"/>
                  <w:marBottom w:val="150"/>
                  <w:divBdr>
                    <w:top w:val="none" w:sz="0" w:space="0" w:color="auto"/>
                    <w:left w:val="none" w:sz="0" w:space="0" w:color="auto"/>
                    <w:bottom w:val="none" w:sz="0" w:space="0" w:color="auto"/>
                    <w:right w:val="none" w:sz="0" w:space="0" w:color="auto"/>
                  </w:divBdr>
                </w:div>
              </w:divsChild>
            </w:div>
            <w:div w:id="746998186">
              <w:marLeft w:val="0"/>
              <w:marRight w:val="0"/>
              <w:marTop w:val="0"/>
              <w:marBottom w:val="0"/>
              <w:divBdr>
                <w:top w:val="none" w:sz="0" w:space="0" w:color="auto"/>
                <w:left w:val="none" w:sz="0" w:space="0" w:color="auto"/>
                <w:bottom w:val="single" w:sz="6" w:space="8" w:color="D9D9D9"/>
                <w:right w:val="none" w:sz="0" w:space="0" w:color="auto"/>
              </w:divBdr>
            </w:div>
            <w:div w:id="319041950">
              <w:marLeft w:val="0"/>
              <w:marRight w:val="0"/>
              <w:marTop w:val="0"/>
              <w:marBottom w:val="0"/>
              <w:divBdr>
                <w:top w:val="none" w:sz="0" w:space="0" w:color="auto"/>
                <w:left w:val="none" w:sz="0" w:space="0" w:color="auto"/>
                <w:bottom w:val="single" w:sz="6" w:space="8" w:color="D9D9D9"/>
                <w:right w:val="none" w:sz="0" w:space="0" w:color="auto"/>
              </w:divBdr>
              <w:divsChild>
                <w:div w:id="883564894">
                  <w:marLeft w:val="150"/>
                  <w:marRight w:val="150"/>
                  <w:marTop w:val="0"/>
                  <w:marBottom w:val="150"/>
                  <w:divBdr>
                    <w:top w:val="none" w:sz="0" w:space="0" w:color="auto"/>
                    <w:left w:val="none" w:sz="0" w:space="0" w:color="auto"/>
                    <w:bottom w:val="none" w:sz="0" w:space="0" w:color="auto"/>
                    <w:right w:val="none" w:sz="0" w:space="0" w:color="auto"/>
                  </w:divBdr>
                </w:div>
              </w:divsChild>
            </w:div>
            <w:div w:id="484902959">
              <w:marLeft w:val="0"/>
              <w:marRight w:val="0"/>
              <w:marTop w:val="0"/>
              <w:marBottom w:val="0"/>
              <w:divBdr>
                <w:top w:val="none" w:sz="0" w:space="0" w:color="auto"/>
                <w:left w:val="none" w:sz="0" w:space="0" w:color="auto"/>
                <w:bottom w:val="single" w:sz="6" w:space="8" w:color="D9D9D9"/>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cgil.it/scuola/scuola-sottoscritto-protocollo-sicurezza.flc" TargetMode="External"/><Relationship Id="rId5" Type="http://schemas.openxmlformats.org/officeDocument/2006/relationships/hyperlink" Target="http://www.flcgil.it/sindacato/documenti/lettere-comunicati-e-documenti/p282_2021-flc-cgil-cisl-fsur-uil-scuola-rua-snals-confsal-richiesta-urgente-convocazione-tavolo-permanente-sicurezza.flc"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604</Words>
  <Characters>3446</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2021-10-12T08:11:00Z</dcterms:created>
  <dcterms:modified xsi:type="dcterms:W3CDTF">2021-10-12T08:12:00Z</dcterms:modified>
</cp:coreProperties>
</file>