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235" w:rsidRDefault="00E82235" w:rsidP="00E82235">
      <w:pPr>
        <w:pStyle w:val="NormaleWeb"/>
        <w:shd w:val="clear" w:color="auto" w:fill="FFFFFF"/>
        <w:spacing w:before="0" w:beforeAutospacing="0" w:after="0" w:afterAutospacing="0"/>
        <w:ind w:firstLine="150"/>
        <w:rPr>
          <w:rFonts w:ascii="Arial" w:hAnsi="Arial" w:cs="Arial"/>
          <w:color w:val="444444"/>
          <w:sz w:val="21"/>
          <w:szCs w:val="21"/>
        </w:rPr>
      </w:pPr>
      <w:r>
        <w:rPr>
          <w:rFonts w:ascii="Arial" w:hAnsi="Arial" w:cs="Arial"/>
          <w:color w:val="444444"/>
          <w:sz w:val="21"/>
          <w:szCs w:val="21"/>
        </w:rPr>
        <w:t xml:space="preserve">PUBBLICHIAMO una sintesi del parere </w:t>
      </w:r>
      <w:hyperlink r:id="rId4" w:tgtFrame="_blank" w:history="1">
        <w:r>
          <w:rPr>
            <w:rStyle w:val="Collegamentoipertestuale"/>
            <w:rFonts w:ascii="Arial" w:hAnsi="Arial" w:cs="Arial"/>
            <w:color w:val="236F91"/>
            <w:sz w:val="21"/>
            <w:szCs w:val="21"/>
            <w:bdr w:val="none" w:sz="0" w:space="0" w:color="auto" w:frame="1"/>
          </w:rPr>
          <w:t>numero 01275 del 20/07/2021</w:t>
        </w:r>
      </w:hyperlink>
      <w:r>
        <w:rPr>
          <w:rFonts w:ascii="Arial" w:hAnsi="Arial" w:cs="Arial"/>
          <w:color w:val="444444"/>
          <w:sz w:val="21"/>
          <w:szCs w:val="21"/>
        </w:rPr>
        <w:t xml:space="preserve"> in cui il Consiglio di Stato si è espresso  sul ricorso da parte d</w:t>
      </w:r>
      <w:r w:rsidR="004E5124">
        <w:rPr>
          <w:rFonts w:ascii="Arial" w:hAnsi="Arial" w:cs="Arial"/>
          <w:color w:val="444444"/>
          <w:sz w:val="21"/>
          <w:szCs w:val="21"/>
        </w:rPr>
        <w:t xml:space="preserve">elle P.A. alle FAQ e su </w:t>
      </w:r>
      <w:r>
        <w:rPr>
          <w:rFonts w:ascii="Arial" w:hAnsi="Arial" w:cs="Arial"/>
          <w:color w:val="444444"/>
          <w:sz w:val="21"/>
          <w:szCs w:val="21"/>
        </w:rPr>
        <w:t>quale valore</w:t>
      </w:r>
      <w:r w:rsidR="004E5124">
        <w:rPr>
          <w:rFonts w:ascii="Arial" w:hAnsi="Arial" w:cs="Arial"/>
          <w:color w:val="444444"/>
          <w:sz w:val="21"/>
          <w:szCs w:val="21"/>
        </w:rPr>
        <w:t xml:space="preserve"> legale</w:t>
      </w:r>
      <w:r>
        <w:rPr>
          <w:rFonts w:ascii="Arial" w:hAnsi="Arial" w:cs="Arial"/>
          <w:color w:val="444444"/>
          <w:sz w:val="21"/>
          <w:szCs w:val="21"/>
        </w:rPr>
        <w:t xml:space="preserve"> esse ricoprano.</w:t>
      </w:r>
    </w:p>
    <w:p w:rsidR="00E82235" w:rsidRDefault="00E82235" w:rsidP="00E82235">
      <w:pPr>
        <w:pStyle w:val="NormaleWeb"/>
        <w:shd w:val="clear" w:color="auto" w:fill="FFFFFF"/>
        <w:spacing w:before="0" w:beforeAutospacing="0" w:after="0" w:afterAutospacing="0"/>
        <w:ind w:firstLine="150"/>
        <w:rPr>
          <w:rFonts w:ascii="Arial" w:hAnsi="Arial" w:cs="Arial"/>
          <w:color w:val="444444"/>
          <w:sz w:val="21"/>
          <w:szCs w:val="21"/>
        </w:rPr>
      </w:pPr>
    </w:p>
    <w:p w:rsidR="00E82235" w:rsidRDefault="00E82235" w:rsidP="004E5124">
      <w:pPr>
        <w:pStyle w:val="NormaleWeb"/>
        <w:shd w:val="clear" w:color="auto" w:fill="FFFFFF"/>
        <w:spacing w:before="0" w:beforeAutospacing="0" w:after="0" w:afterAutospacing="0"/>
        <w:ind w:firstLine="150"/>
        <w:rPr>
          <w:rFonts w:ascii="Arial" w:hAnsi="Arial" w:cs="Arial"/>
          <w:color w:val="444444"/>
          <w:sz w:val="21"/>
          <w:szCs w:val="21"/>
        </w:rPr>
      </w:pPr>
      <w:r>
        <w:rPr>
          <w:rFonts w:ascii="Arial" w:hAnsi="Arial" w:cs="Arial"/>
          <w:color w:val="444444"/>
          <w:sz w:val="21"/>
          <w:szCs w:val="21"/>
        </w:rPr>
        <w:br/>
      </w:r>
    </w:p>
    <w:p w:rsidR="004E5124" w:rsidRDefault="004E5124" w:rsidP="004E5124">
      <w:pPr>
        <w:spacing w:after="0" w:line="240" w:lineRule="auto"/>
        <w:ind w:firstLine="150"/>
        <w:rPr>
          <w:rFonts w:ascii="Arial" w:eastAsia="Times New Roman" w:hAnsi="Arial" w:cs="Arial"/>
          <w:color w:val="444444"/>
          <w:sz w:val="21"/>
          <w:szCs w:val="21"/>
          <w:lang w:eastAsia="it-IT"/>
        </w:rPr>
      </w:pPr>
      <w:r>
        <w:rPr>
          <w:rFonts w:ascii="Arial" w:eastAsia="Times New Roman" w:hAnsi="Arial" w:cs="Arial"/>
          <w:i/>
          <w:iCs/>
          <w:color w:val="555555"/>
          <w:spacing w:val="5"/>
          <w:sz w:val="21"/>
          <w:szCs w:val="21"/>
          <w:bdr w:val="none" w:sz="0" w:space="0" w:color="auto" w:frame="1"/>
          <w:lang w:eastAsia="it-IT"/>
        </w:rPr>
        <w:t>“</w:t>
      </w:r>
      <w:r>
        <w:rPr>
          <w:rFonts w:ascii="Arial" w:eastAsia="Times New Roman" w:hAnsi="Arial" w:cs="Arial"/>
          <w:i/>
          <w:iCs/>
          <w:color w:val="555555"/>
          <w:spacing w:val="5"/>
          <w:sz w:val="21"/>
          <w:szCs w:val="21"/>
          <w:bdr w:val="none" w:sz="0" w:space="0" w:color="auto" w:frame="1"/>
          <w:lang w:eastAsia="it-IT"/>
        </w:rPr>
        <w:t>In linea generale, </w:t>
      </w:r>
      <w:r>
        <w:rPr>
          <w:rFonts w:ascii="Arial" w:eastAsia="Times New Roman" w:hAnsi="Arial" w:cs="Arial"/>
          <w:b/>
          <w:bCs/>
          <w:i/>
          <w:iCs/>
          <w:color w:val="333333"/>
          <w:spacing w:val="5"/>
          <w:sz w:val="21"/>
          <w:szCs w:val="21"/>
          <w:bdr w:val="none" w:sz="0" w:space="0" w:color="auto" w:frame="1"/>
          <w:lang w:eastAsia="it-IT"/>
        </w:rPr>
        <w:t xml:space="preserve">occorre prendere atto del sempre maggiore ricorso da parte delle pubbliche amministrazioni alle </w:t>
      </w:r>
      <w:proofErr w:type="spellStart"/>
      <w:r>
        <w:rPr>
          <w:rFonts w:ascii="Arial" w:eastAsia="Times New Roman" w:hAnsi="Arial" w:cs="Arial"/>
          <w:b/>
          <w:bCs/>
          <w:i/>
          <w:iCs/>
          <w:color w:val="333333"/>
          <w:spacing w:val="5"/>
          <w:sz w:val="21"/>
          <w:szCs w:val="21"/>
          <w:bdr w:val="none" w:sz="0" w:space="0" w:color="auto" w:frame="1"/>
          <w:lang w:eastAsia="it-IT"/>
        </w:rPr>
        <w:t>Frequently</w:t>
      </w:r>
      <w:proofErr w:type="spellEnd"/>
      <w:r>
        <w:rPr>
          <w:rFonts w:ascii="Arial" w:eastAsia="Times New Roman" w:hAnsi="Arial" w:cs="Arial"/>
          <w:b/>
          <w:bCs/>
          <w:i/>
          <w:iCs/>
          <w:color w:val="333333"/>
          <w:spacing w:val="5"/>
          <w:sz w:val="21"/>
          <w:szCs w:val="21"/>
          <w:bdr w:val="none" w:sz="0" w:space="0" w:color="auto" w:frame="1"/>
          <w:lang w:eastAsia="it-IT"/>
        </w:rPr>
        <w:t xml:space="preserve"> </w:t>
      </w:r>
      <w:proofErr w:type="spellStart"/>
      <w:r>
        <w:rPr>
          <w:rFonts w:ascii="Arial" w:eastAsia="Times New Roman" w:hAnsi="Arial" w:cs="Arial"/>
          <w:b/>
          <w:bCs/>
          <w:i/>
          <w:iCs/>
          <w:color w:val="333333"/>
          <w:spacing w:val="5"/>
          <w:sz w:val="21"/>
          <w:szCs w:val="21"/>
          <w:bdr w:val="none" w:sz="0" w:space="0" w:color="auto" w:frame="1"/>
          <w:lang w:eastAsia="it-IT"/>
        </w:rPr>
        <w:t>Asked</w:t>
      </w:r>
      <w:proofErr w:type="spellEnd"/>
      <w:r>
        <w:rPr>
          <w:rFonts w:ascii="Arial" w:eastAsia="Times New Roman" w:hAnsi="Arial" w:cs="Arial"/>
          <w:b/>
          <w:bCs/>
          <w:i/>
          <w:iCs/>
          <w:color w:val="333333"/>
          <w:spacing w:val="5"/>
          <w:sz w:val="21"/>
          <w:szCs w:val="21"/>
          <w:bdr w:val="none" w:sz="0" w:space="0" w:color="auto" w:frame="1"/>
          <w:lang w:eastAsia="it-IT"/>
        </w:rPr>
        <w:t xml:space="preserve"> </w:t>
      </w:r>
      <w:proofErr w:type="spellStart"/>
      <w:r>
        <w:rPr>
          <w:rFonts w:ascii="Arial" w:eastAsia="Times New Roman" w:hAnsi="Arial" w:cs="Arial"/>
          <w:b/>
          <w:bCs/>
          <w:i/>
          <w:iCs/>
          <w:color w:val="333333"/>
          <w:spacing w:val="5"/>
          <w:sz w:val="21"/>
          <w:szCs w:val="21"/>
          <w:bdr w:val="none" w:sz="0" w:space="0" w:color="auto" w:frame="1"/>
          <w:lang w:eastAsia="it-IT"/>
        </w:rPr>
        <w:t>Questions</w:t>
      </w:r>
      <w:proofErr w:type="spellEnd"/>
      <w:r>
        <w:rPr>
          <w:rFonts w:ascii="Arial" w:eastAsia="Times New Roman" w:hAnsi="Arial" w:cs="Arial"/>
          <w:b/>
          <w:bCs/>
          <w:i/>
          <w:iCs/>
          <w:color w:val="333333"/>
          <w:spacing w:val="5"/>
          <w:sz w:val="21"/>
          <w:szCs w:val="21"/>
          <w:bdr w:val="none" w:sz="0" w:space="0" w:color="auto" w:frame="1"/>
          <w:lang w:eastAsia="it-IT"/>
        </w:rPr>
        <w:t xml:space="preserve"> (FAQ)</w:t>
      </w:r>
      <w:r>
        <w:rPr>
          <w:rFonts w:ascii="Arial" w:eastAsia="Times New Roman" w:hAnsi="Arial" w:cs="Arial"/>
          <w:i/>
          <w:iCs/>
          <w:color w:val="555555"/>
          <w:spacing w:val="5"/>
          <w:sz w:val="21"/>
          <w:szCs w:val="21"/>
          <w:bdr w:val="none" w:sz="0" w:space="0" w:color="auto" w:frame="1"/>
          <w:lang w:eastAsia="it-IT"/>
        </w:rPr>
        <w:t>, già note, in precedenza, nell’ambito dell’e-commerce e dei servizi sul web. Si tratta di una serie di risposte alle domande che sono state poste (o potrebbero essere poste) più frequentemente dagli utilizzatori di un certo servizio. In tal modo </w:t>
      </w:r>
      <w:r>
        <w:rPr>
          <w:rFonts w:ascii="Arial" w:eastAsia="Times New Roman" w:hAnsi="Arial" w:cs="Arial"/>
          <w:b/>
          <w:bCs/>
          <w:i/>
          <w:iCs/>
          <w:color w:val="333333"/>
          <w:spacing w:val="5"/>
          <w:sz w:val="21"/>
          <w:szCs w:val="21"/>
          <w:bdr w:val="none" w:sz="0" w:space="0" w:color="auto" w:frame="1"/>
          <w:lang w:eastAsia="it-IT"/>
        </w:rPr>
        <w:t xml:space="preserve">viene data risposta pubblica, su un sito web, a interrogativi ricorrenti, sì da chiarire erga </w:t>
      </w:r>
      <w:proofErr w:type="spellStart"/>
      <w:r>
        <w:rPr>
          <w:rFonts w:ascii="Arial" w:eastAsia="Times New Roman" w:hAnsi="Arial" w:cs="Arial"/>
          <w:b/>
          <w:bCs/>
          <w:i/>
          <w:iCs/>
          <w:color w:val="333333"/>
          <w:spacing w:val="5"/>
          <w:sz w:val="21"/>
          <w:szCs w:val="21"/>
          <w:bdr w:val="none" w:sz="0" w:space="0" w:color="auto" w:frame="1"/>
          <w:lang w:eastAsia="it-IT"/>
        </w:rPr>
        <w:t>omnes</w:t>
      </w:r>
      <w:proofErr w:type="spellEnd"/>
      <w:r>
        <w:rPr>
          <w:rFonts w:ascii="Arial" w:eastAsia="Times New Roman" w:hAnsi="Arial" w:cs="Arial"/>
          <w:b/>
          <w:bCs/>
          <w:i/>
          <w:iCs/>
          <w:color w:val="333333"/>
          <w:spacing w:val="5"/>
          <w:sz w:val="21"/>
          <w:szCs w:val="21"/>
          <w:bdr w:val="none" w:sz="0" w:space="0" w:color="auto" w:frame="1"/>
          <w:lang w:eastAsia="it-IT"/>
        </w:rPr>
        <w:t xml:space="preserve"> e pubblicamente le questioni poste con maggiore frequenza</w:t>
      </w:r>
      <w:r>
        <w:rPr>
          <w:rFonts w:ascii="Arial" w:eastAsia="Times New Roman" w:hAnsi="Arial" w:cs="Arial"/>
          <w:i/>
          <w:iCs/>
          <w:color w:val="555555"/>
          <w:spacing w:val="5"/>
          <w:sz w:val="21"/>
          <w:szCs w:val="21"/>
          <w:bdr w:val="none" w:sz="0" w:space="0" w:color="auto" w:frame="1"/>
          <w:lang w:eastAsia="it-IT"/>
        </w:rPr>
        <w:t>. Il ricorso alle FAQ, evidentemente, è normalmente da ricondurre a </w:t>
      </w:r>
      <w:r>
        <w:rPr>
          <w:rFonts w:ascii="Arial" w:eastAsia="Times New Roman" w:hAnsi="Arial" w:cs="Arial"/>
          <w:b/>
          <w:bCs/>
          <w:i/>
          <w:iCs/>
          <w:color w:val="333333"/>
          <w:spacing w:val="5"/>
          <w:sz w:val="21"/>
          <w:szCs w:val="21"/>
          <w:bdr w:val="none" w:sz="0" w:space="0" w:color="auto" w:frame="1"/>
          <w:lang w:eastAsia="it-IT"/>
        </w:rPr>
        <w:t>esigenze di trasparenza dell’attività della pubblica amministrazione e di economicità della medesima</w:t>
      </w:r>
      <w:r>
        <w:rPr>
          <w:rFonts w:ascii="Arial" w:eastAsia="Times New Roman" w:hAnsi="Arial" w:cs="Arial"/>
          <w:i/>
          <w:iCs/>
          <w:color w:val="555555"/>
          <w:spacing w:val="5"/>
          <w:sz w:val="21"/>
          <w:szCs w:val="21"/>
          <w:bdr w:val="none" w:sz="0" w:space="0" w:color="auto" w:frame="1"/>
          <w:lang w:eastAsia="it-IT"/>
        </w:rPr>
        <w:t>. Sotto questo secondo aspetto, il carattere ricorrente di taluni temi o interrogativi induce il titolare del sito (in questo caso: l’amministrazione) a soddisfare in via preventiva le esigenze di chiarimento dei destinatari principali dell’attività. </w:t>
      </w:r>
      <w:r>
        <w:rPr>
          <w:rFonts w:ascii="Arial" w:eastAsia="Times New Roman" w:hAnsi="Arial" w:cs="Arial"/>
          <w:b/>
          <w:bCs/>
          <w:i/>
          <w:iCs/>
          <w:color w:val="333333"/>
          <w:spacing w:val="5"/>
          <w:sz w:val="21"/>
          <w:szCs w:val="21"/>
          <w:bdr w:val="none" w:sz="0" w:space="0" w:color="auto" w:frame="1"/>
          <w:lang w:eastAsia="it-IT"/>
        </w:rPr>
        <w:t>Nello stesso periodo contrassegnato dalle limitazioni dovute alla diffusione del COVID 19, le risposte alle FAQ da parte della pubblica amministrazione hanno conosciuto un rilievo e una notorietà in precedenza sconosciute</w:t>
      </w:r>
      <w:r>
        <w:rPr>
          <w:rFonts w:ascii="Arial" w:eastAsia="Times New Roman" w:hAnsi="Arial" w:cs="Arial"/>
          <w:i/>
          <w:iCs/>
          <w:color w:val="555555"/>
          <w:spacing w:val="5"/>
          <w:sz w:val="21"/>
          <w:szCs w:val="21"/>
          <w:bdr w:val="none" w:sz="0" w:space="0" w:color="auto" w:frame="1"/>
          <w:lang w:eastAsia="it-IT"/>
        </w:rPr>
        <w:t>, con l’obiettivo di offrire elementi di chiarezza ai fini interpretativi e applicativi di disposizioni che si potevano, in astratto, prestare a diversi esiti finali.</w:t>
      </w:r>
    </w:p>
    <w:p w:rsidR="004E5124" w:rsidRDefault="004E5124" w:rsidP="004E5124">
      <w:pPr>
        <w:spacing w:after="0" w:line="240" w:lineRule="auto"/>
        <w:ind w:firstLine="150"/>
        <w:rPr>
          <w:rFonts w:ascii="Arial" w:eastAsia="Times New Roman" w:hAnsi="Arial" w:cs="Arial"/>
          <w:color w:val="444444"/>
          <w:sz w:val="21"/>
          <w:szCs w:val="21"/>
          <w:lang w:eastAsia="it-IT"/>
        </w:rPr>
      </w:pPr>
      <w:r>
        <w:rPr>
          <w:rFonts w:ascii="Arial" w:eastAsia="Times New Roman" w:hAnsi="Arial" w:cs="Arial"/>
          <w:i/>
          <w:iCs/>
          <w:color w:val="555555"/>
          <w:spacing w:val="5"/>
          <w:sz w:val="21"/>
          <w:szCs w:val="21"/>
          <w:bdr w:val="none" w:sz="0" w:space="0" w:color="auto" w:frame="1"/>
          <w:lang w:eastAsia="it-IT"/>
        </w:rPr>
        <w:t>Tuttavia, non si può neppure dimenticare che </w:t>
      </w:r>
      <w:r>
        <w:rPr>
          <w:rFonts w:ascii="Arial" w:eastAsia="Times New Roman" w:hAnsi="Arial" w:cs="Arial"/>
          <w:b/>
          <w:bCs/>
          <w:i/>
          <w:iCs/>
          <w:color w:val="333333"/>
          <w:spacing w:val="5"/>
          <w:sz w:val="21"/>
          <w:szCs w:val="21"/>
          <w:bdr w:val="none" w:sz="0" w:space="0" w:color="auto" w:frame="1"/>
          <w:lang w:eastAsia="it-IT"/>
        </w:rPr>
        <w:t>le FAQ sono sconosciute all’ordinamento giuridico</w:t>
      </w:r>
      <w:r>
        <w:rPr>
          <w:rFonts w:ascii="Arial" w:eastAsia="Times New Roman" w:hAnsi="Arial" w:cs="Arial"/>
          <w:i/>
          <w:iCs/>
          <w:color w:val="555555"/>
          <w:spacing w:val="5"/>
          <w:sz w:val="21"/>
          <w:szCs w:val="21"/>
          <w:bdr w:val="none" w:sz="0" w:space="0" w:color="auto" w:frame="1"/>
          <w:lang w:eastAsia="it-IT"/>
        </w:rPr>
        <w:t>, in particolare all’art. 1 delle preleggi al codice civile. </w:t>
      </w:r>
      <w:r>
        <w:rPr>
          <w:rFonts w:ascii="Arial" w:eastAsia="Times New Roman" w:hAnsi="Arial" w:cs="Arial"/>
          <w:b/>
          <w:bCs/>
          <w:i/>
          <w:iCs/>
          <w:color w:val="333333"/>
          <w:spacing w:val="5"/>
          <w:sz w:val="21"/>
          <w:szCs w:val="21"/>
          <w:bdr w:val="none" w:sz="0" w:space="0" w:color="auto" w:frame="1"/>
          <w:lang w:eastAsia="it-IT"/>
        </w:rPr>
        <w:t>Esse svolgono una funzione eminentemente pratica</w:t>
      </w:r>
      <w:r>
        <w:rPr>
          <w:rFonts w:ascii="Arial" w:eastAsia="Times New Roman" w:hAnsi="Arial" w:cs="Arial"/>
          <w:i/>
          <w:iCs/>
          <w:color w:val="555555"/>
          <w:spacing w:val="5"/>
          <w:sz w:val="21"/>
          <w:szCs w:val="21"/>
          <w:bdr w:val="none" w:sz="0" w:space="0" w:color="auto" w:frame="1"/>
          <w:lang w:eastAsia="it-IT"/>
        </w:rPr>
        <w:t xml:space="preserve"> né, in genere, indicano elementi utili circa la loro elaborazione, la procedura o i soggetti che ne sono i curatori o i responsabili. Non sono pubblicate a conclusione di un procedimento predefinito dalla legge. </w:t>
      </w:r>
      <w:proofErr w:type="gramStart"/>
      <w:r>
        <w:rPr>
          <w:rFonts w:ascii="Arial" w:eastAsia="Times New Roman" w:hAnsi="Arial" w:cs="Arial"/>
          <w:i/>
          <w:iCs/>
          <w:color w:val="555555"/>
          <w:spacing w:val="5"/>
          <w:sz w:val="21"/>
          <w:szCs w:val="21"/>
          <w:bdr w:val="none" w:sz="0" w:space="0" w:color="auto" w:frame="1"/>
          <w:lang w:eastAsia="it-IT"/>
        </w:rPr>
        <w:t>È  quindi</w:t>
      </w:r>
      <w:proofErr w:type="gramEnd"/>
      <w:r>
        <w:rPr>
          <w:rFonts w:ascii="Arial" w:eastAsia="Times New Roman" w:hAnsi="Arial" w:cs="Arial"/>
          <w:i/>
          <w:iCs/>
          <w:color w:val="555555"/>
          <w:spacing w:val="5"/>
          <w:sz w:val="21"/>
          <w:szCs w:val="21"/>
          <w:bdr w:val="none" w:sz="0" w:space="0" w:color="auto" w:frame="1"/>
          <w:lang w:eastAsia="it-IT"/>
        </w:rPr>
        <w:t> </w:t>
      </w:r>
      <w:r>
        <w:rPr>
          <w:rFonts w:ascii="Arial" w:eastAsia="Times New Roman" w:hAnsi="Arial" w:cs="Arial"/>
          <w:b/>
          <w:bCs/>
          <w:i/>
          <w:iCs/>
          <w:color w:val="333333"/>
          <w:spacing w:val="5"/>
          <w:sz w:val="21"/>
          <w:szCs w:val="21"/>
          <w:bdr w:val="none" w:sz="0" w:space="0" w:color="auto" w:frame="1"/>
          <w:lang w:eastAsia="it-IT"/>
        </w:rPr>
        <w:t>da escludere che le risposte alle FAQ possano essere assimilate a una fonte del diritto, né primaria, né secondaria</w:t>
      </w:r>
      <w:r>
        <w:rPr>
          <w:rFonts w:ascii="Arial" w:eastAsia="Times New Roman" w:hAnsi="Arial" w:cs="Arial"/>
          <w:i/>
          <w:iCs/>
          <w:color w:val="555555"/>
          <w:spacing w:val="5"/>
          <w:sz w:val="21"/>
          <w:szCs w:val="21"/>
          <w:bdr w:val="none" w:sz="0" w:space="0" w:color="auto" w:frame="1"/>
          <w:lang w:eastAsia="it-IT"/>
        </w:rPr>
        <w:t>. </w:t>
      </w:r>
      <w:r>
        <w:rPr>
          <w:rFonts w:ascii="Arial" w:eastAsia="Times New Roman" w:hAnsi="Arial" w:cs="Arial"/>
          <w:b/>
          <w:bCs/>
          <w:i/>
          <w:iCs/>
          <w:color w:val="333333"/>
          <w:spacing w:val="5"/>
          <w:sz w:val="21"/>
          <w:szCs w:val="21"/>
          <w:bdr w:val="none" w:sz="0" w:space="0" w:color="auto" w:frame="1"/>
          <w:lang w:eastAsia="it-IT"/>
        </w:rPr>
        <w:t>Neppure possono essere considerate affini alle circolari, dal momento che non costituiscono un obbligo interno per gli organi amministrativi.</w:t>
      </w:r>
    </w:p>
    <w:p w:rsidR="004E5124" w:rsidRDefault="004E5124" w:rsidP="004E5124">
      <w:pPr>
        <w:spacing w:after="0" w:line="240" w:lineRule="auto"/>
        <w:ind w:firstLine="150"/>
        <w:rPr>
          <w:rFonts w:ascii="Arial" w:eastAsia="Times New Roman" w:hAnsi="Arial" w:cs="Arial"/>
          <w:color w:val="444444"/>
          <w:sz w:val="21"/>
          <w:szCs w:val="21"/>
          <w:lang w:eastAsia="it-IT"/>
        </w:rPr>
      </w:pPr>
      <w:r>
        <w:rPr>
          <w:rFonts w:ascii="Arial" w:eastAsia="Times New Roman" w:hAnsi="Arial" w:cs="Arial"/>
          <w:i/>
          <w:iCs/>
          <w:color w:val="555555"/>
          <w:spacing w:val="5"/>
          <w:sz w:val="21"/>
          <w:szCs w:val="21"/>
          <w:bdr w:val="none" w:sz="0" w:space="0" w:color="auto" w:frame="1"/>
          <w:lang w:eastAsia="it-IT"/>
        </w:rPr>
        <w:t>In difetto dei necessari presupposti legali, esse </w:t>
      </w:r>
      <w:r>
        <w:rPr>
          <w:rFonts w:ascii="Arial" w:eastAsia="Times New Roman" w:hAnsi="Arial" w:cs="Arial"/>
          <w:b/>
          <w:bCs/>
          <w:i/>
          <w:iCs/>
          <w:color w:val="333333"/>
          <w:spacing w:val="5"/>
          <w:sz w:val="21"/>
          <w:szCs w:val="21"/>
          <w:bdr w:val="none" w:sz="0" w:space="0" w:color="auto" w:frame="1"/>
          <w:lang w:eastAsia="it-IT"/>
        </w:rPr>
        <w:t>non possono costituire neppure atti di interpretazione autentica.</w:t>
      </w:r>
    </w:p>
    <w:p w:rsidR="004E5124" w:rsidRDefault="004E5124" w:rsidP="004E5124">
      <w:pPr>
        <w:spacing w:after="0" w:line="240" w:lineRule="auto"/>
        <w:ind w:firstLine="150"/>
        <w:rPr>
          <w:rFonts w:ascii="Arial" w:eastAsia="Times New Roman" w:hAnsi="Arial" w:cs="Arial"/>
          <w:color w:val="444444"/>
          <w:sz w:val="21"/>
          <w:szCs w:val="21"/>
          <w:lang w:eastAsia="it-IT"/>
        </w:rPr>
      </w:pPr>
      <w:r>
        <w:rPr>
          <w:rFonts w:ascii="Arial" w:eastAsia="Times New Roman" w:hAnsi="Arial" w:cs="Arial"/>
          <w:i/>
          <w:iCs/>
          <w:color w:val="555555"/>
          <w:spacing w:val="5"/>
          <w:sz w:val="21"/>
          <w:szCs w:val="21"/>
          <w:bdr w:val="none" w:sz="0" w:space="0" w:color="auto" w:frame="1"/>
          <w:lang w:eastAsia="it-IT"/>
        </w:rPr>
        <w:t>Tuttavia, </w:t>
      </w:r>
      <w:r>
        <w:rPr>
          <w:rFonts w:ascii="Arial" w:eastAsia="Times New Roman" w:hAnsi="Arial" w:cs="Arial"/>
          <w:b/>
          <w:bCs/>
          <w:i/>
          <w:iCs/>
          <w:color w:val="333333"/>
          <w:spacing w:val="5"/>
          <w:sz w:val="21"/>
          <w:szCs w:val="21"/>
          <w:bdr w:val="none" w:sz="0" w:space="0" w:color="auto" w:frame="1"/>
          <w:lang w:eastAsia="it-IT"/>
        </w:rPr>
        <w:t>non può essere sottovalutato l’effetto che le risposte alle FAQ producono sui destinatari</w:t>
      </w:r>
      <w:r>
        <w:rPr>
          <w:rFonts w:ascii="Arial" w:eastAsia="Times New Roman" w:hAnsi="Arial" w:cs="Arial"/>
          <w:i/>
          <w:iCs/>
          <w:color w:val="555555"/>
          <w:spacing w:val="5"/>
          <w:sz w:val="21"/>
          <w:szCs w:val="21"/>
          <w:bdr w:val="none" w:sz="0" w:space="0" w:color="auto" w:frame="1"/>
          <w:lang w:eastAsia="it-IT"/>
        </w:rPr>
        <w:t>, a partire dall’affidamento nei confronti di chi (l’amministrazione) fornisce le risposte. In definitiva, </w:t>
      </w:r>
      <w:r>
        <w:rPr>
          <w:rFonts w:ascii="Arial" w:eastAsia="Times New Roman" w:hAnsi="Arial" w:cs="Arial"/>
          <w:b/>
          <w:bCs/>
          <w:i/>
          <w:iCs/>
          <w:color w:val="333333"/>
          <w:spacing w:val="5"/>
          <w:sz w:val="21"/>
          <w:szCs w:val="21"/>
          <w:bdr w:val="none" w:sz="0" w:space="0" w:color="auto" w:frame="1"/>
          <w:lang w:eastAsia="it-IT"/>
        </w:rPr>
        <w:t>le risposte alle FAQ, pur nella loro atipicità, si pongono a metà strada tra le disposizioni di carattere normativo, </w:t>
      </w:r>
      <w:r>
        <w:rPr>
          <w:rFonts w:ascii="Arial" w:eastAsia="Times New Roman" w:hAnsi="Arial" w:cs="Arial"/>
          <w:i/>
          <w:iCs/>
          <w:color w:val="555555"/>
          <w:spacing w:val="5"/>
          <w:sz w:val="21"/>
          <w:szCs w:val="21"/>
          <w:bdr w:val="none" w:sz="0" w:space="0" w:color="auto" w:frame="1"/>
          <w:lang w:eastAsia="it-IT"/>
        </w:rPr>
        <w:t>per loro natura (almeno di regola) generali e astratte e inidonee quindi a prevedere ogni loro possibile applicazione concreta,</w:t>
      </w:r>
      <w:r>
        <w:rPr>
          <w:rFonts w:ascii="Arial" w:eastAsia="Times New Roman" w:hAnsi="Arial" w:cs="Arial"/>
          <w:b/>
          <w:bCs/>
          <w:i/>
          <w:iCs/>
          <w:color w:val="333333"/>
          <w:spacing w:val="5"/>
          <w:sz w:val="21"/>
          <w:szCs w:val="21"/>
          <w:bdr w:val="none" w:sz="0" w:space="0" w:color="auto" w:frame="1"/>
          <w:lang w:eastAsia="it-IT"/>
        </w:rPr>
        <w:t> e il singolo esercizio della funzione amministrativa da parte di una pubblica amministrazione</w:t>
      </w:r>
      <w:r>
        <w:rPr>
          <w:rFonts w:ascii="Arial" w:eastAsia="Times New Roman" w:hAnsi="Arial" w:cs="Arial"/>
          <w:i/>
          <w:iCs/>
          <w:color w:val="555555"/>
          <w:spacing w:val="5"/>
          <w:sz w:val="21"/>
          <w:szCs w:val="21"/>
          <w:bdr w:val="none" w:sz="0" w:space="0" w:color="auto" w:frame="1"/>
          <w:lang w:eastAsia="it-IT"/>
        </w:rPr>
        <w:t>.</w:t>
      </w:r>
    </w:p>
    <w:p w:rsidR="004E5124" w:rsidRDefault="004E5124" w:rsidP="004E5124">
      <w:pPr>
        <w:spacing w:after="0" w:line="240" w:lineRule="auto"/>
        <w:ind w:firstLine="150"/>
        <w:rPr>
          <w:rFonts w:ascii="Arial" w:eastAsia="Times New Roman" w:hAnsi="Arial" w:cs="Arial"/>
          <w:color w:val="444444"/>
          <w:sz w:val="21"/>
          <w:szCs w:val="21"/>
          <w:lang w:eastAsia="it-IT"/>
        </w:rPr>
      </w:pPr>
      <w:r>
        <w:rPr>
          <w:rFonts w:ascii="Arial" w:eastAsia="Times New Roman" w:hAnsi="Arial" w:cs="Arial"/>
          <w:i/>
          <w:iCs/>
          <w:color w:val="555555"/>
          <w:spacing w:val="5"/>
          <w:sz w:val="21"/>
          <w:szCs w:val="21"/>
          <w:bdr w:val="none" w:sz="0" w:space="0" w:color="auto" w:frame="1"/>
          <w:lang w:eastAsia="it-IT"/>
        </w:rPr>
        <w:t>Essenziali criteri di affidamento del cittadino nella pubblica amministrazione richiedono tuttavia di tenere conto dell’attività svolta dall’amministrazione stessa con la pubblicazione delle FAQ sul proprio sito istituzionale.</w:t>
      </w:r>
    </w:p>
    <w:p w:rsidR="004E5124" w:rsidRDefault="004E5124" w:rsidP="004E5124">
      <w:pPr>
        <w:spacing w:after="0" w:line="240" w:lineRule="auto"/>
        <w:ind w:firstLine="150"/>
        <w:rPr>
          <w:rFonts w:ascii="Arial" w:eastAsia="Times New Roman" w:hAnsi="Arial" w:cs="Arial"/>
          <w:color w:val="444444"/>
          <w:sz w:val="21"/>
          <w:szCs w:val="21"/>
          <w:lang w:eastAsia="it-IT"/>
        </w:rPr>
      </w:pPr>
      <w:r>
        <w:rPr>
          <w:rFonts w:ascii="Arial" w:eastAsia="Times New Roman" w:hAnsi="Arial" w:cs="Arial"/>
          <w:i/>
          <w:iCs/>
          <w:color w:val="555555"/>
          <w:spacing w:val="5"/>
          <w:sz w:val="21"/>
          <w:szCs w:val="21"/>
          <w:bdr w:val="none" w:sz="0" w:space="0" w:color="auto" w:frame="1"/>
          <w:lang w:eastAsia="it-IT"/>
        </w:rPr>
        <w:t>Fatta questa premessa, si può agevolmente riconoscere che vale per le risposte alle FAQ quanto enucleato dal Consiglio di Stato con </w:t>
      </w:r>
      <w:r>
        <w:rPr>
          <w:rFonts w:ascii="Arial" w:eastAsia="Times New Roman" w:hAnsi="Arial" w:cs="Arial"/>
          <w:b/>
          <w:bCs/>
          <w:i/>
          <w:iCs/>
          <w:color w:val="333333"/>
          <w:spacing w:val="5"/>
          <w:sz w:val="21"/>
          <w:szCs w:val="21"/>
          <w:bdr w:val="none" w:sz="0" w:space="0" w:color="auto" w:frame="1"/>
          <w:lang w:eastAsia="it-IT"/>
        </w:rPr>
        <w:t>riferimento alle gare di appalto</w:t>
      </w:r>
      <w:r>
        <w:rPr>
          <w:rFonts w:ascii="Arial" w:eastAsia="Times New Roman" w:hAnsi="Arial" w:cs="Arial"/>
          <w:i/>
          <w:iCs/>
          <w:color w:val="555555"/>
          <w:spacing w:val="5"/>
          <w:sz w:val="21"/>
          <w:szCs w:val="21"/>
          <w:bdr w:val="none" w:sz="0" w:space="0" w:color="auto" w:frame="1"/>
          <w:lang w:eastAsia="it-IT"/>
        </w:rPr>
        <w:t xml:space="preserve">: “chiarimenti in ordine alla valenza di alcune clausole della </w:t>
      </w:r>
      <w:proofErr w:type="spellStart"/>
      <w:r>
        <w:rPr>
          <w:rFonts w:ascii="Arial" w:eastAsia="Times New Roman" w:hAnsi="Arial" w:cs="Arial"/>
          <w:i/>
          <w:iCs/>
          <w:color w:val="555555"/>
          <w:spacing w:val="5"/>
          <w:sz w:val="21"/>
          <w:szCs w:val="21"/>
          <w:bdr w:val="none" w:sz="0" w:space="0" w:color="auto" w:frame="1"/>
          <w:lang w:eastAsia="it-IT"/>
        </w:rPr>
        <w:t>lex</w:t>
      </w:r>
      <w:proofErr w:type="spellEnd"/>
      <w:r>
        <w:rPr>
          <w:rFonts w:ascii="Arial" w:eastAsia="Times New Roman" w:hAnsi="Arial" w:cs="Arial"/>
          <w:i/>
          <w:iCs/>
          <w:color w:val="555555"/>
          <w:spacing w:val="5"/>
          <w:sz w:val="21"/>
          <w:szCs w:val="21"/>
          <w:bdr w:val="none" w:sz="0" w:space="0" w:color="auto" w:frame="1"/>
          <w:lang w:eastAsia="it-IT"/>
        </w:rPr>
        <w:t xml:space="preserve"> di gara dal significato poco chiaro, essendo forniti dalla stazione appaltante anteriormente alla presentazione delle offerte, non costituiscono un'indebita, e perciò illegittima, modifica delle regole di gara, ma una sorta d'interpretazione autentica, con cui l'Amministrazione chiarisce la propria volontà </w:t>
      </w:r>
      <w:proofErr w:type="spellStart"/>
      <w:r>
        <w:rPr>
          <w:rFonts w:ascii="Arial" w:eastAsia="Times New Roman" w:hAnsi="Arial" w:cs="Arial"/>
          <w:i/>
          <w:iCs/>
          <w:color w:val="555555"/>
          <w:spacing w:val="5"/>
          <w:sz w:val="21"/>
          <w:szCs w:val="21"/>
          <w:bdr w:val="none" w:sz="0" w:space="0" w:color="auto" w:frame="1"/>
          <w:lang w:eastAsia="it-IT"/>
        </w:rPr>
        <w:t>provvedimentale</w:t>
      </w:r>
      <w:proofErr w:type="spellEnd"/>
      <w:r>
        <w:rPr>
          <w:rFonts w:ascii="Arial" w:eastAsia="Times New Roman" w:hAnsi="Arial" w:cs="Arial"/>
          <w:i/>
          <w:iCs/>
          <w:color w:val="555555"/>
          <w:spacing w:val="5"/>
          <w:sz w:val="21"/>
          <w:szCs w:val="21"/>
          <w:bdr w:val="none" w:sz="0" w:space="0" w:color="auto" w:frame="1"/>
          <w:lang w:eastAsia="it-IT"/>
        </w:rPr>
        <w:t xml:space="preserve">, in un primo momento poco intelligibile, precisando e meglio delucidando le previsioni della </w:t>
      </w:r>
      <w:proofErr w:type="spellStart"/>
      <w:r>
        <w:rPr>
          <w:rFonts w:ascii="Arial" w:eastAsia="Times New Roman" w:hAnsi="Arial" w:cs="Arial"/>
          <w:i/>
          <w:iCs/>
          <w:color w:val="555555"/>
          <w:spacing w:val="5"/>
          <w:sz w:val="21"/>
          <w:szCs w:val="21"/>
          <w:bdr w:val="none" w:sz="0" w:space="0" w:color="auto" w:frame="1"/>
          <w:lang w:eastAsia="it-IT"/>
        </w:rPr>
        <w:t>lex</w:t>
      </w:r>
      <w:proofErr w:type="spellEnd"/>
      <w:r>
        <w:rPr>
          <w:rFonts w:ascii="Arial" w:eastAsia="Times New Roman" w:hAnsi="Arial" w:cs="Arial"/>
          <w:i/>
          <w:iCs/>
          <w:color w:val="555555"/>
          <w:spacing w:val="5"/>
          <w:sz w:val="21"/>
          <w:szCs w:val="21"/>
          <w:bdr w:val="none" w:sz="0" w:space="0" w:color="auto" w:frame="1"/>
          <w:lang w:eastAsia="it-IT"/>
        </w:rPr>
        <w:t xml:space="preserve"> </w:t>
      </w:r>
      <w:proofErr w:type="spellStart"/>
      <w:r>
        <w:rPr>
          <w:rFonts w:ascii="Arial" w:eastAsia="Times New Roman" w:hAnsi="Arial" w:cs="Arial"/>
          <w:i/>
          <w:iCs/>
          <w:color w:val="555555"/>
          <w:spacing w:val="5"/>
          <w:sz w:val="21"/>
          <w:szCs w:val="21"/>
          <w:bdr w:val="none" w:sz="0" w:space="0" w:color="auto" w:frame="1"/>
          <w:lang w:eastAsia="it-IT"/>
        </w:rPr>
        <w:t>specialis</w:t>
      </w:r>
      <w:proofErr w:type="spellEnd"/>
      <w:r>
        <w:rPr>
          <w:rFonts w:ascii="Arial" w:eastAsia="Times New Roman" w:hAnsi="Arial" w:cs="Arial"/>
          <w:i/>
          <w:iCs/>
          <w:color w:val="555555"/>
          <w:spacing w:val="5"/>
          <w:sz w:val="21"/>
          <w:szCs w:val="21"/>
          <w:bdr w:val="none" w:sz="0" w:space="0" w:color="auto" w:frame="1"/>
          <w:lang w:eastAsia="it-IT"/>
        </w:rPr>
        <w:t xml:space="preserve"> (Consiglio di Stato, Sez. IV, 21 gennaio 2013, n. 341; Sez. III, n. 290/2014).</w:t>
      </w:r>
    </w:p>
    <w:p w:rsidR="004E5124" w:rsidRDefault="004E5124" w:rsidP="004E5124">
      <w:pPr>
        <w:spacing w:after="0" w:line="240" w:lineRule="auto"/>
        <w:ind w:firstLine="150"/>
        <w:rPr>
          <w:rFonts w:ascii="Arial" w:eastAsia="Times New Roman" w:hAnsi="Arial" w:cs="Arial"/>
          <w:color w:val="444444"/>
          <w:sz w:val="21"/>
          <w:szCs w:val="21"/>
          <w:lang w:eastAsia="it-IT"/>
        </w:rPr>
      </w:pPr>
      <w:r>
        <w:rPr>
          <w:rFonts w:ascii="Arial" w:eastAsia="Times New Roman" w:hAnsi="Arial" w:cs="Arial"/>
          <w:i/>
          <w:iCs/>
          <w:color w:val="555555"/>
          <w:spacing w:val="5"/>
          <w:sz w:val="21"/>
          <w:szCs w:val="21"/>
          <w:bdr w:val="none" w:sz="0" w:space="0" w:color="auto" w:frame="1"/>
          <w:lang w:eastAsia="it-IT"/>
        </w:rPr>
        <w:t>Per quanto </w:t>
      </w:r>
      <w:r>
        <w:rPr>
          <w:rFonts w:ascii="Arial" w:eastAsia="Times New Roman" w:hAnsi="Arial" w:cs="Arial"/>
          <w:b/>
          <w:bCs/>
          <w:i/>
          <w:iCs/>
          <w:color w:val="333333"/>
          <w:spacing w:val="5"/>
          <w:sz w:val="21"/>
          <w:szCs w:val="21"/>
          <w:bdr w:val="none" w:sz="0" w:space="0" w:color="auto" w:frame="1"/>
          <w:lang w:eastAsia="it-IT"/>
        </w:rPr>
        <w:t>non vincolanti</w:t>
      </w:r>
      <w:r>
        <w:rPr>
          <w:rFonts w:ascii="Arial" w:eastAsia="Times New Roman" w:hAnsi="Arial" w:cs="Arial"/>
          <w:i/>
          <w:iCs/>
          <w:color w:val="555555"/>
          <w:spacing w:val="5"/>
          <w:sz w:val="21"/>
          <w:szCs w:val="21"/>
          <w:bdr w:val="none" w:sz="0" w:space="0" w:color="auto" w:frame="1"/>
          <w:lang w:eastAsia="it-IT"/>
        </w:rPr>
        <w:t xml:space="preserve">, le FAQ orientano i comportamenti degli interessati e non possono essere considerate </w:t>
      </w:r>
      <w:proofErr w:type="spellStart"/>
      <w:r>
        <w:rPr>
          <w:rFonts w:ascii="Arial" w:eastAsia="Times New Roman" w:hAnsi="Arial" w:cs="Arial"/>
          <w:i/>
          <w:iCs/>
          <w:color w:val="555555"/>
          <w:spacing w:val="5"/>
          <w:sz w:val="21"/>
          <w:szCs w:val="21"/>
          <w:bdr w:val="none" w:sz="0" w:space="0" w:color="auto" w:frame="1"/>
          <w:lang w:eastAsia="it-IT"/>
        </w:rPr>
        <w:t>tamquam</w:t>
      </w:r>
      <w:proofErr w:type="spellEnd"/>
      <w:r>
        <w:rPr>
          <w:rFonts w:ascii="Arial" w:eastAsia="Times New Roman" w:hAnsi="Arial" w:cs="Arial"/>
          <w:i/>
          <w:iCs/>
          <w:color w:val="555555"/>
          <w:spacing w:val="5"/>
          <w:sz w:val="21"/>
          <w:szCs w:val="21"/>
          <w:bdr w:val="none" w:sz="0" w:space="0" w:color="auto" w:frame="1"/>
          <w:lang w:eastAsia="it-IT"/>
        </w:rPr>
        <w:t xml:space="preserve"> non </w:t>
      </w:r>
      <w:proofErr w:type="spellStart"/>
      <w:r>
        <w:rPr>
          <w:rFonts w:ascii="Arial" w:eastAsia="Times New Roman" w:hAnsi="Arial" w:cs="Arial"/>
          <w:i/>
          <w:iCs/>
          <w:color w:val="555555"/>
          <w:spacing w:val="5"/>
          <w:sz w:val="21"/>
          <w:szCs w:val="21"/>
          <w:bdr w:val="none" w:sz="0" w:space="0" w:color="auto" w:frame="1"/>
          <w:lang w:eastAsia="it-IT"/>
        </w:rPr>
        <w:t>essent</w:t>
      </w:r>
      <w:proofErr w:type="spellEnd"/>
      <w:r>
        <w:rPr>
          <w:rFonts w:ascii="Arial" w:eastAsia="Times New Roman" w:hAnsi="Arial" w:cs="Arial"/>
          <w:i/>
          <w:iCs/>
          <w:color w:val="555555"/>
          <w:spacing w:val="5"/>
          <w:sz w:val="21"/>
          <w:szCs w:val="21"/>
          <w:bdr w:val="none" w:sz="0" w:space="0" w:color="auto" w:frame="1"/>
          <w:lang w:eastAsia="it-IT"/>
        </w:rPr>
        <w:t>.</w:t>
      </w:r>
    </w:p>
    <w:p w:rsidR="004E5124" w:rsidRDefault="004E5124" w:rsidP="004E5124">
      <w:pPr>
        <w:spacing w:after="0" w:line="240" w:lineRule="auto"/>
        <w:ind w:firstLine="150"/>
        <w:rPr>
          <w:rFonts w:ascii="Arial" w:eastAsia="Times New Roman" w:hAnsi="Arial" w:cs="Arial"/>
          <w:color w:val="444444"/>
          <w:sz w:val="21"/>
          <w:szCs w:val="21"/>
          <w:lang w:eastAsia="it-IT"/>
        </w:rPr>
      </w:pPr>
      <w:bookmarkStart w:id="0" w:name="_GoBack"/>
      <w:bookmarkEnd w:id="0"/>
      <w:r>
        <w:rPr>
          <w:rFonts w:ascii="Arial" w:eastAsia="Times New Roman" w:hAnsi="Arial" w:cs="Arial"/>
          <w:color w:val="444444"/>
          <w:sz w:val="21"/>
          <w:szCs w:val="21"/>
          <w:lang w:eastAsia="it-IT"/>
        </w:rPr>
        <w:br/>
      </w:r>
      <w:r>
        <w:rPr>
          <w:rFonts w:ascii="Arial" w:eastAsia="Times New Roman" w:hAnsi="Arial" w:cs="Arial"/>
          <w:color w:val="444444"/>
          <w:sz w:val="21"/>
          <w:szCs w:val="21"/>
          <w:lang w:eastAsia="it-IT"/>
        </w:rPr>
        <w:br/>
      </w:r>
      <w:r>
        <w:rPr>
          <w:rFonts w:ascii="Arial" w:eastAsia="Times New Roman" w:hAnsi="Arial" w:cs="Arial"/>
          <w:i/>
          <w:iCs/>
          <w:color w:val="555555"/>
          <w:spacing w:val="5"/>
          <w:sz w:val="21"/>
          <w:szCs w:val="21"/>
          <w:bdr w:val="none" w:sz="0" w:space="0" w:color="auto" w:frame="1"/>
          <w:lang w:eastAsia="it-IT"/>
        </w:rPr>
        <w:t>In definitiva, </w:t>
      </w:r>
      <w:r>
        <w:rPr>
          <w:rFonts w:ascii="Arial" w:eastAsia="Times New Roman" w:hAnsi="Arial" w:cs="Arial"/>
          <w:b/>
          <w:bCs/>
          <w:i/>
          <w:iCs/>
          <w:color w:val="333333"/>
          <w:spacing w:val="5"/>
          <w:sz w:val="21"/>
          <w:szCs w:val="21"/>
          <w:bdr w:val="none" w:sz="0" w:space="0" w:color="auto" w:frame="1"/>
          <w:lang w:eastAsia="it-IT"/>
        </w:rPr>
        <w:t>pur non avendo carattere vincolante, le risposte date dall’amministrazione contribuiscono senz’altro a fornire un’utile indicazione di carattere applicativo</w:t>
      </w:r>
      <w:r>
        <w:rPr>
          <w:rFonts w:ascii="Arial" w:eastAsia="Times New Roman" w:hAnsi="Arial" w:cs="Arial"/>
          <w:i/>
          <w:iCs/>
          <w:color w:val="555555"/>
          <w:spacing w:val="5"/>
          <w:sz w:val="21"/>
          <w:szCs w:val="21"/>
          <w:bdr w:val="none" w:sz="0" w:space="0" w:color="auto" w:frame="1"/>
          <w:lang w:eastAsia="it-IT"/>
        </w:rPr>
        <w:t> in ordine alla ratio sottesa alle procedure e agli atti in corso di esame (v. Sez. I, n. 6812/2020).</w:t>
      </w:r>
    </w:p>
    <w:p w:rsidR="004E5124" w:rsidRDefault="004E5124" w:rsidP="004E5124">
      <w:pPr>
        <w:spacing w:after="0" w:line="240" w:lineRule="auto"/>
        <w:ind w:firstLine="150"/>
        <w:rPr>
          <w:rFonts w:ascii="Arial" w:eastAsia="Times New Roman" w:hAnsi="Arial" w:cs="Arial"/>
          <w:color w:val="444444"/>
          <w:sz w:val="21"/>
          <w:szCs w:val="21"/>
          <w:lang w:eastAsia="it-IT"/>
        </w:rPr>
      </w:pPr>
      <w:r>
        <w:rPr>
          <w:rFonts w:ascii="Arial" w:eastAsia="Times New Roman" w:hAnsi="Arial" w:cs="Arial"/>
          <w:i/>
          <w:iCs/>
          <w:color w:val="555555"/>
          <w:spacing w:val="5"/>
          <w:sz w:val="21"/>
          <w:szCs w:val="21"/>
          <w:bdr w:val="none" w:sz="0" w:space="0" w:color="auto" w:frame="1"/>
          <w:lang w:eastAsia="it-IT"/>
        </w:rPr>
        <w:t>Una volta suggerita, attraverso le FAQ, la ratio propria dell’avviso pubblico, </w:t>
      </w:r>
      <w:r>
        <w:rPr>
          <w:rFonts w:ascii="Arial" w:eastAsia="Times New Roman" w:hAnsi="Arial" w:cs="Arial"/>
          <w:b/>
          <w:bCs/>
          <w:i/>
          <w:iCs/>
          <w:color w:val="333333"/>
          <w:spacing w:val="5"/>
          <w:sz w:val="21"/>
          <w:szCs w:val="21"/>
          <w:bdr w:val="none" w:sz="0" w:space="0" w:color="auto" w:frame="1"/>
          <w:lang w:eastAsia="it-IT"/>
        </w:rPr>
        <w:t>all’amministrazione è consentito discostarsi dalle indicazioni già fornite</w:t>
      </w:r>
      <w:r>
        <w:rPr>
          <w:rFonts w:ascii="Arial" w:eastAsia="Times New Roman" w:hAnsi="Arial" w:cs="Arial"/>
          <w:i/>
          <w:iCs/>
          <w:color w:val="555555"/>
          <w:spacing w:val="5"/>
          <w:sz w:val="21"/>
          <w:szCs w:val="21"/>
          <w:bdr w:val="none" w:sz="0" w:space="0" w:color="auto" w:frame="1"/>
          <w:lang w:eastAsia="it-IT"/>
        </w:rPr>
        <w:t xml:space="preserve"> esclusivamente se è in grado di addurre, in un momento successivo, elementi sostanzialmente decisivi e necessariamente soggetti a uno scrutinio particolarmente severo, anche da parte del giudice, affinché sia evitato il rischio che la </w:t>
      </w:r>
      <w:r>
        <w:rPr>
          <w:rFonts w:ascii="Arial" w:eastAsia="Times New Roman" w:hAnsi="Arial" w:cs="Arial"/>
          <w:i/>
          <w:iCs/>
          <w:color w:val="555555"/>
          <w:spacing w:val="5"/>
          <w:sz w:val="21"/>
          <w:szCs w:val="21"/>
          <w:bdr w:val="none" w:sz="0" w:space="0" w:color="auto" w:frame="1"/>
          <w:lang w:eastAsia="it-IT"/>
        </w:rPr>
        <w:lastRenderedPageBreak/>
        <w:t>discrezionalità amministrativa si converta, con il diverso orientamento amministrativo sopravvenuto, in arbitrio o comunque leda l’affidamento creato nei destinatari delle disposizioni</w:t>
      </w:r>
      <w:r>
        <w:rPr>
          <w:rFonts w:ascii="Arial" w:eastAsia="Times New Roman" w:hAnsi="Arial" w:cs="Arial"/>
          <w:color w:val="444444"/>
          <w:sz w:val="21"/>
          <w:szCs w:val="21"/>
          <w:lang w:eastAsia="it-IT"/>
        </w:rPr>
        <w:t>".</w:t>
      </w:r>
    </w:p>
    <w:p w:rsidR="004E5124" w:rsidRDefault="004E5124" w:rsidP="004E5124">
      <w:pPr>
        <w:spacing w:after="0" w:line="240" w:lineRule="auto"/>
        <w:rPr>
          <w:rFonts w:ascii="Arial" w:eastAsia="Times New Roman" w:hAnsi="Arial" w:cs="Arial"/>
          <w:caps/>
          <w:color w:val="66CC33"/>
          <w:sz w:val="17"/>
          <w:szCs w:val="17"/>
          <w:lang w:eastAsia="it-IT"/>
        </w:rPr>
      </w:pPr>
    </w:p>
    <w:p w:rsidR="004E5124" w:rsidRDefault="004E5124" w:rsidP="004E5124"/>
    <w:p w:rsidR="0039705B" w:rsidRDefault="0039705B"/>
    <w:sectPr w:rsidR="003970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35"/>
    <w:rsid w:val="0039705B"/>
    <w:rsid w:val="004E5124"/>
    <w:rsid w:val="00E82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256F"/>
  <w15:chartTrackingRefBased/>
  <w15:docId w15:val="{3A1817F4-CE3B-4B11-BF21-4ABF95A0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8223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82235"/>
    <w:rPr>
      <w:color w:val="0000FF"/>
      <w:u w:val="single"/>
    </w:rPr>
  </w:style>
  <w:style w:type="character" w:styleId="Enfasicorsivo">
    <w:name w:val="Emphasis"/>
    <w:basedOn w:val="Carpredefinitoparagrafo"/>
    <w:uiPriority w:val="20"/>
    <w:qFormat/>
    <w:rsid w:val="00E82235"/>
    <w:rPr>
      <w:i/>
      <w:iCs/>
    </w:rPr>
  </w:style>
  <w:style w:type="character" w:styleId="Enfasigrassetto">
    <w:name w:val="Strong"/>
    <w:basedOn w:val="Carpredefinitoparagrafo"/>
    <w:uiPriority w:val="22"/>
    <w:qFormat/>
    <w:rsid w:val="00E82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9833">
      <w:bodyDiv w:val="1"/>
      <w:marLeft w:val="0"/>
      <w:marRight w:val="0"/>
      <w:marTop w:val="0"/>
      <w:marBottom w:val="0"/>
      <w:divBdr>
        <w:top w:val="none" w:sz="0" w:space="0" w:color="auto"/>
        <w:left w:val="none" w:sz="0" w:space="0" w:color="auto"/>
        <w:bottom w:val="none" w:sz="0" w:space="0" w:color="auto"/>
        <w:right w:val="none" w:sz="0" w:space="0" w:color="auto"/>
      </w:divBdr>
    </w:div>
    <w:div w:id="10567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iustizia-amministrativa.it/web/guest/dcsnprr?p_p_id=GaSearch_INSTANCE_2NDgCF3zWBwk&amp;p_p_state=normal&amp;p_p_mode=view&amp;_GaSearch_INSTANCE_2NDgCF3zWBwk_javax.portlet.action=searchProvvedimenti&amp;p_auth=5bHFqNwj&amp;p_p_lifecycle=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4350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2</cp:revision>
  <dcterms:created xsi:type="dcterms:W3CDTF">2021-08-04T07:18:00Z</dcterms:created>
  <dcterms:modified xsi:type="dcterms:W3CDTF">2021-08-04T07:18:00Z</dcterms:modified>
</cp:coreProperties>
</file>