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1C" w:rsidRPr="0003731C" w:rsidRDefault="0003731C" w:rsidP="0003731C">
      <w:pPr>
        <w:shd w:val="clear" w:color="auto" w:fill="FFFFFF"/>
        <w:spacing w:after="0" w:line="525" w:lineRule="atLeast"/>
        <w:outlineLvl w:val="0"/>
        <w:rPr>
          <w:rFonts w:ascii="Tahoma" w:eastAsia="Times New Roman" w:hAnsi="Tahoma" w:cs="Tahoma"/>
          <w:color w:val="DC3B33"/>
          <w:kern w:val="36"/>
          <w:sz w:val="45"/>
          <w:szCs w:val="45"/>
          <w:lang w:eastAsia="it-IT"/>
        </w:rPr>
      </w:pPr>
      <w:r w:rsidRPr="0003731C">
        <w:rPr>
          <w:rFonts w:ascii="Tahoma" w:eastAsia="Times New Roman" w:hAnsi="Tahoma" w:cs="Tahoma"/>
          <w:color w:val="DC3B33"/>
          <w:kern w:val="36"/>
          <w:sz w:val="45"/>
          <w:szCs w:val="45"/>
          <w:lang w:eastAsia="it-IT"/>
        </w:rPr>
        <w:t>Piano estate: 510 milioni di euro alle scuole. Il Ministero dell’Istruzione incontra i sindacati</w:t>
      </w:r>
    </w:p>
    <w:p w:rsidR="0003731C" w:rsidRPr="0003731C" w:rsidRDefault="0003731C" w:rsidP="0003731C">
      <w:pPr>
        <w:shd w:val="clear" w:color="auto" w:fill="FFFFFF"/>
        <w:spacing w:before="75" w:after="75" w:line="240" w:lineRule="auto"/>
        <w:outlineLvl w:val="3"/>
        <w:rPr>
          <w:rFonts w:ascii="Arial" w:eastAsia="Times New Roman" w:hAnsi="Arial" w:cs="Arial"/>
          <w:color w:val="535353"/>
          <w:sz w:val="27"/>
          <w:szCs w:val="27"/>
          <w:lang w:eastAsia="it-IT"/>
        </w:rPr>
      </w:pPr>
      <w:r w:rsidRPr="0003731C">
        <w:rPr>
          <w:rFonts w:ascii="Arial" w:eastAsia="Times New Roman" w:hAnsi="Arial" w:cs="Arial"/>
          <w:color w:val="535353"/>
          <w:sz w:val="27"/>
          <w:szCs w:val="27"/>
          <w:lang w:eastAsia="it-IT"/>
        </w:rPr>
        <w:t>Senza un testo su cui confrontarsi, l’Amministrazione ha fornito l’informativa relativa all’assegnazione alle scuole di oltre mezzo miliardo di euro. La FLC CGIL reclama gli impegni concreti sul patto per la scuola e su un decreto ad hoc per superare le emergenze endemiche del sistema scolastico.</w:t>
      </w:r>
    </w:p>
    <w:p w:rsidR="0003731C" w:rsidRPr="0003731C" w:rsidRDefault="0003731C" w:rsidP="0003731C">
      <w:pPr>
        <w:shd w:val="clear" w:color="auto" w:fill="FFFFFF"/>
        <w:spacing w:after="0" w:line="240" w:lineRule="auto"/>
        <w:rPr>
          <w:rFonts w:ascii="Arial" w:eastAsia="Times New Roman" w:hAnsi="Arial" w:cs="Arial"/>
          <w:color w:val="4D4D4D"/>
          <w:sz w:val="21"/>
          <w:szCs w:val="21"/>
          <w:lang w:eastAsia="it-IT"/>
        </w:rPr>
      </w:pPr>
      <w:r w:rsidRPr="0003731C">
        <w:rPr>
          <w:rFonts w:ascii="Arial" w:eastAsia="Times New Roman" w:hAnsi="Arial" w:cs="Arial"/>
          <w:b/>
          <w:bCs/>
          <w:color w:val="4D4D4D"/>
          <w:sz w:val="21"/>
          <w:szCs w:val="21"/>
          <w:lang w:eastAsia="it-IT"/>
        </w:rPr>
        <w:t>26/04/2021</w:t>
      </w:r>
    </w:p>
    <w:p w:rsidR="0003731C" w:rsidRPr="0003731C" w:rsidRDefault="0003731C" w:rsidP="0003731C">
      <w:pPr>
        <w:shd w:val="clear" w:color="auto" w:fill="FFFFFF"/>
        <w:spacing w:after="150" w:line="240" w:lineRule="auto"/>
        <w:rPr>
          <w:rFonts w:ascii="Arial" w:eastAsia="Times New Roman" w:hAnsi="Arial" w:cs="Arial"/>
          <w:color w:val="4D4D4D"/>
          <w:sz w:val="21"/>
          <w:szCs w:val="21"/>
          <w:lang w:eastAsia="it-IT"/>
        </w:rPr>
      </w:pPr>
    </w:p>
    <w:p w:rsidR="0003731C" w:rsidRPr="0003731C" w:rsidRDefault="0003731C" w:rsidP="0003731C">
      <w:pPr>
        <w:shd w:val="clear" w:color="auto" w:fill="F2F2F2"/>
        <w:spacing w:after="0" w:line="240" w:lineRule="auto"/>
        <w:rPr>
          <w:rFonts w:ascii="Arial" w:eastAsia="Times New Roman" w:hAnsi="Arial" w:cs="Arial"/>
          <w:color w:val="000000"/>
          <w:sz w:val="21"/>
          <w:szCs w:val="21"/>
          <w:lang w:eastAsia="it-IT"/>
        </w:rPr>
      </w:pPr>
      <w:bookmarkStart w:id="0" w:name="fb_share"/>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L’amministrazione ha in</w:t>
      </w:r>
      <w:r>
        <w:rPr>
          <w:rFonts w:ascii="Arial" w:eastAsia="Times New Roman" w:hAnsi="Arial" w:cs="Arial"/>
          <w:color w:val="000000"/>
          <w:sz w:val="21"/>
          <w:szCs w:val="21"/>
          <w:lang w:eastAsia="it-IT"/>
        </w:rPr>
        <w:t>formato le organizzazioni</w:t>
      </w:r>
      <w:r w:rsidRPr="0003731C">
        <w:rPr>
          <w:rFonts w:ascii="Arial" w:eastAsia="Times New Roman" w:hAnsi="Arial" w:cs="Arial"/>
          <w:color w:val="000000"/>
          <w:sz w:val="21"/>
          <w:szCs w:val="21"/>
          <w:lang w:eastAsia="it-IT"/>
        </w:rPr>
        <w:t xml:space="preserve"> sindacali sull’imminente emanazione di una nota ministeriale che annuncia l’assegnazione alle scuole di </w:t>
      </w:r>
      <w:r w:rsidRPr="0003731C">
        <w:rPr>
          <w:rFonts w:ascii="Arial" w:eastAsia="Times New Roman" w:hAnsi="Arial" w:cs="Arial"/>
          <w:b/>
          <w:bCs/>
          <w:color w:val="000000"/>
          <w:sz w:val="21"/>
          <w:szCs w:val="21"/>
          <w:lang w:eastAsia="it-IT"/>
        </w:rPr>
        <w:t>risorse</w:t>
      </w:r>
      <w:r w:rsidRPr="0003731C">
        <w:rPr>
          <w:rFonts w:ascii="Arial" w:eastAsia="Times New Roman" w:hAnsi="Arial" w:cs="Arial"/>
          <w:color w:val="000000"/>
          <w:sz w:val="21"/>
          <w:szCs w:val="21"/>
          <w:lang w:eastAsia="it-IT"/>
        </w:rPr>
        <w:t> destinate ad attività di rinforzo delle competenze relazionali e disciplinari, da svolgersi durante il </w:t>
      </w:r>
      <w:r w:rsidRPr="0003731C">
        <w:rPr>
          <w:rFonts w:ascii="Arial" w:eastAsia="Times New Roman" w:hAnsi="Arial" w:cs="Arial"/>
          <w:b/>
          <w:bCs/>
          <w:color w:val="000000"/>
          <w:sz w:val="21"/>
          <w:szCs w:val="21"/>
          <w:lang w:eastAsia="it-IT"/>
        </w:rPr>
        <w:t>periodo estivo</w:t>
      </w:r>
      <w:r w:rsidRPr="0003731C">
        <w:rPr>
          <w:rFonts w:ascii="Arial" w:eastAsia="Times New Roman" w:hAnsi="Arial" w:cs="Arial"/>
          <w:color w:val="000000"/>
          <w:sz w:val="21"/>
          <w:szCs w:val="21"/>
          <w:lang w:eastAsia="it-IT"/>
        </w:rPr>
        <w:t>. Tali attività rientreranno nell’autonoma progettazione delle scuole attraverso il coinvolgimento degli Organi Collegiali e saranno affidate a personale interno, di ruolo o precario, o esterno mediante contratti per beni e servizi con realtà associative del territorio. L’adesione dei docenti sarà volontaria.</w:t>
      </w:r>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Le risorse destinate ammontano complessivamente a </w:t>
      </w:r>
      <w:r w:rsidRPr="0003731C">
        <w:rPr>
          <w:rFonts w:ascii="Arial" w:eastAsia="Times New Roman" w:hAnsi="Arial" w:cs="Arial"/>
          <w:b/>
          <w:bCs/>
          <w:color w:val="000000"/>
          <w:sz w:val="21"/>
          <w:szCs w:val="21"/>
          <w:lang w:eastAsia="it-IT"/>
        </w:rPr>
        <w:t>510 milioni di euro</w:t>
      </w:r>
      <w:r w:rsidRPr="0003731C">
        <w:rPr>
          <w:rFonts w:ascii="Arial" w:eastAsia="Times New Roman" w:hAnsi="Arial" w:cs="Arial"/>
          <w:color w:val="000000"/>
          <w:sz w:val="21"/>
          <w:szCs w:val="21"/>
          <w:lang w:eastAsia="it-IT"/>
        </w:rPr>
        <w:t xml:space="preserve"> di cui 320 milioni dai Fondi </w:t>
      </w:r>
      <w:proofErr w:type="spellStart"/>
      <w:r w:rsidRPr="0003731C">
        <w:rPr>
          <w:rFonts w:ascii="Arial" w:eastAsia="Times New Roman" w:hAnsi="Arial" w:cs="Arial"/>
          <w:color w:val="000000"/>
          <w:sz w:val="21"/>
          <w:szCs w:val="21"/>
          <w:lang w:eastAsia="it-IT"/>
        </w:rPr>
        <w:t>Pon</w:t>
      </w:r>
      <w:proofErr w:type="spellEnd"/>
      <w:r w:rsidRPr="0003731C">
        <w:rPr>
          <w:rFonts w:ascii="Arial" w:eastAsia="Times New Roman" w:hAnsi="Arial" w:cs="Arial"/>
          <w:color w:val="000000"/>
          <w:sz w:val="21"/>
          <w:szCs w:val="21"/>
          <w:lang w:eastAsia="it-IT"/>
        </w:rPr>
        <w:t>, distribuiti in base alle procedure previste dagli stessi, 150 milioni ripartiti in base alla popolazione scolastica, ulteriori 40 milioni ex legge 440 per le scuole che parteciperanno ai bandi del Ministero dell’Istruzione.</w:t>
      </w:r>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Attraverso </w:t>
      </w:r>
      <w:r w:rsidRPr="0003731C">
        <w:rPr>
          <w:rFonts w:ascii="Arial" w:eastAsia="Times New Roman" w:hAnsi="Arial" w:cs="Arial"/>
          <w:b/>
          <w:bCs/>
          <w:color w:val="000000"/>
          <w:sz w:val="21"/>
          <w:szCs w:val="21"/>
          <w:lang w:eastAsia="it-IT"/>
        </w:rPr>
        <w:t>Indire</w:t>
      </w:r>
      <w:r w:rsidRPr="0003731C">
        <w:rPr>
          <w:rFonts w:ascii="Arial" w:eastAsia="Times New Roman" w:hAnsi="Arial" w:cs="Arial"/>
          <w:color w:val="000000"/>
          <w:sz w:val="21"/>
          <w:szCs w:val="21"/>
          <w:lang w:eastAsia="it-IT"/>
        </w:rPr>
        <w:t> verrà assicurato alle scuole adeguato supporto tecnico-amministrativo.</w:t>
      </w:r>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La </w:t>
      </w:r>
      <w:r w:rsidRPr="0003731C">
        <w:rPr>
          <w:rFonts w:ascii="Arial" w:eastAsia="Times New Roman" w:hAnsi="Arial" w:cs="Arial"/>
          <w:b/>
          <w:bCs/>
          <w:color w:val="000000"/>
          <w:sz w:val="21"/>
          <w:szCs w:val="21"/>
          <w:lang w:eastAsia="it-IT"/>
        </w:rPr>
        <w:t>FLC CGIL</w:t>
      </w:r>
      <w:r w:rsidRPr="0003731C">
        <w:rPr>
          <w:rFonts w:ascii="Arial" w:eastAsia="Times New Roman" w:hAnsi="Arial" w:cs="Arial"/>
          <w:color w:val="000000"/>
          <w:sz w:val="21"/>
          <w:szCs w:val="21"/>
          <w:lang w:eastAsia="it-IT"/>
        </w:rPr>
        <w:t> nel suo intervento ha rilevato un </w:t>
      </w:r>
      <w:r w:rsidRPr="0003731C">
        <w:rPr>
          <w:rFonts w:ascii="Arial" w:eastAsia="Times New Roman" w:hAnsi="Arial" w:cs="Arial"/>
          <w:b/>
          <w:bCs/>
          <w:color w:val="000000"/>
          <w:sz w:val="21"/>
          <w:szCs w:val="21"/>
          <w:lang w:eastAsia="it-IT"/>
        </w:rPr>
        <w:t>grave problema di metodo</w:t>
      </w:r>
      <w:r w:rsidRPr="0003731C">
        <w:rPr>
          <w:rFonts w:ascii="Arial" w:eastAsia="Times New Roman" w:hAnsi="Arial" w:cs="Arial"/>
          <w:color w:val="000000"/>
          <w:sz w:val="21"/>
          <w:szCs w:val="21"/>
          <w:lang w:eastAsia="it-IT"/>
        </w:rPr>
        <w:t>: una convocazione su un tema così importante con pochissimo preavviso e senza un testo su cui confrontarsi è un grave attacco alle corrette relazioni sindacali. Si tratta di decidere della destinazione di oltre mezzo miliardo di euro senza poter entrare nella concretezza di un documento scritto.</w:t>
      </w:r>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Abbiamo chiesto quindi di </w:t>
      </w:r>
      <w:r w:rsidRPr="0003731C">
        <w:rPr>
          <w:rFonts w:ascii="Arial" w:eastAsia="Times New Roman" w:hAnsi="Arial" w:cs="Arial"/>
          <w:b/>
          <w:bCs/>
          <w:color w:val="000000"/>
          <w:sz w:val="21"/>
          <w:szCs w:val="21"/>
          <w:lang w:eastAsia="it-IT"/>
        </w:rPr>
        <w:t>aggiornare l’incontro</w:t>
      </w:r>
      <w:r w:rsidRPr="0003731C">
        <w:rPr>
          <w:rFonts w:ascii="Arial" w:eastAsia="Times New Roman" w:hAnsi="Arial" w:cs="Arial"/>
          <w:color w:val="000000"/>
          <w:sz w:val="21"/>
          <w:szCs w:val="21"/>
          <w:lang w:eastAsia="it-IT"/>
        </w:rPr>
        <w:t> dopo avere preso visione della bozza della nota annunciata. Abbiamo inoltre espresso la nostra </w:t>
      </w:r>
      <w:r w:rsidRPr="0003731C">
        <w:rPr>
          <w:rFonts w:ascii="Arial" w:eastAsia="Times New Roman" w:hAnsi="Arial" w:cs="Arial"/>
          <w:b/>
          <w:bCs/>
          <w:color w:val="000000"/>
          <w:sz w:val="21"/>
          <w:szCs w:val="21"/>
          <w:lang w:eastAsia="it-IT"/>
        </w:rPr>
        <w:t>contrarietà</w:t>
      </w:r>
      <w:r w:rsidRPr="0003731C">
        <w:rPr>
          <w:rFonts w:ascii="Arial" w:eastAsia="Times New Roman" w:hAnsi="Arial" w:cs="Arial"/>
          <w:color w:val="000000"/>
          <w:sz w:val="21"/>
          <w:szCs w:val="21"/>
          <w:lang w:eastAsia="it-IT"/>
        </w:rPr>
        <w:t> e </w:t>
      </w:r>
      <w:r w:rsidRPr="0003731C">
        <w:rPr>
          <w:rFonts w:ascii="Arial" w:eastAsia="Times New Roman" w:hAnsi="Arial" w:cs="Arial"/>
          <w:b/>
          <w:bCs/>
          <w:color w:val="000000"/>
          <w:sz w:val="21"/>
          <w:szCs w:val="21"/>
          <w:lang w:eastAsia="it-IT"/>
        </w:rPr>
        <w:t>preoccupazione</w:t>
      </w:r>
      <w:r w:rsidRPr="0003731C">
        <w:rPr>
          <w:rFonts w:ascii="Arial" w:eastAsia="Times New Roman" w:hAnsi="Arial" w:cs="Arial"/>
          <w:color w:val="000000"/>
          <w:sz w:val="21"/>
          <w:szCs w:val="21"/>
          <w:lang w:eastAsia="it-IT"/>
        </w:rPr>
        <w:t> rispetto al mancato avvio del confronto sul Patto per la Scuola che dovrebbe costituire la cornice entro cui si collocano i singoli provvedimenti e al silenzio calato su uno specifico decreto che affronti le emergenze da noi rappresentate in diversa occasione, a partire dalla conferma dell’organico “</w:t>
      </w:r>
      <w:proofErr w:type="spellStart"/>
      <w:r w:rsidRPr="0003731C">
        <w:rPr>
          <w:rFonts w:ascii="Arial" w:eastAsia="Times New Roman" w:hAnsi="Arial" w:cs="Arial"/>
          <w:color w:val="000000"/>
          <w:sz w:val="21"/>
          <w:szCs w:val="21"/>
          <w:lang w:eastAsia="it-IT"/>
        </w:rPr>
        <w:t>covid</w:t>
      </w:r>
      <w:proofErr w:type="spellEnd"/>
      <w:r w:rsidRPr="0003731C">
        <w:rPr>
          <w:rFonts w:ascii="Arial" w:eastAsia="Times New Roman" w:hAnsi="Arial" w:cs="Arial"/>
          <w:color w:val="000000"/>
          <w:sz w:val="21"/>
          <w:szCs w:val="21"/>
          <w:lang w:eastAsia="it-IT"/>
        </w:rPr>
        <w:t>” e dall’ampliamento dell’organico ATA.</w:t>
      </w:r>
    </w:p>
    <w:p w:rsidR="0003731C" w:rsidRPr="0003731C" w:rsidRDefault="0003731C" w:rsidP="0003731C">
      <w:pPr>
        <w:shd w:val="clear" w:color="auto" w:fill="FFFFFF"/>
        <w:spacing w:after="225" w:line="240" w:lineRule="auto"/>
        <w:jc w:val="both"/>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Abbiamo inoltre rilevato come l’informativa non abbia dato alcuna rassicurazione sull’</w:t>
      </w:r>
      <w:r w:rsidRPr="0003731C">
        <w:rPr>
          <w:rFonts w:ascii="Arial" w:eastAsia="Times New Roman" w:hAnsi="Arial" w:cs="Arial"/>
          <w:b/>
          <w:bCs/>
          <w:color w:val="000000"/>
          <w:sz w:val="21"/>
          <w:szCs w:val="21"/>
          <w:lang w:eastAsia="it-IT"/>
        </w:rPr>
        <w:t>aggiornamento dei protocolli di sicurezza</w:t>
      </w:r>
      <w:r w:rsidRPr="0003731C">
        <w:rPr>
          <w:rFonts w:ascii="Arial" w:eastAsia="Times New Roman" w:hAnsi="Arial" w:cs="Arial"/>
          <w:color w:val="000000"/>
          <w:sz w:val="21"/>
          <w:szCs w:val="21"/>
          <w:lang w:eastAsia="it-IT"/>
        </w:rPr>
        <w:t> né sulle modalità di </w:t>
      </w:r>
      <w:r w:rsidRPr="0003731C">
        <w:rPr>
          <w:rFonts w:ascii="Arial" w:eastAsia="Times New Roman" w:hAnsi="Arial" w:cs="Arial"/>
          <w:b/>
          <w:bCs/>
          <w:color w:val="000000"/>
          <w:sz w:val="21"/>
          <w:szCs w:val="21"/>
          <w:lang w:eastAsia="it-IT"/>
        </w:rPr>
        <w:t>reclutamento</w:t>
      </w:r>
      <w:r w:rsidRPr="0003731C">
        <w:rPr>
          <w:rFonts w:ascii="Arial" w:eastAsia="Times New Roman" w:hAnsi="Arial" w:cs="Arial"/>
          <w:color w:val="000000"/>
          <w:sz w:val="21"/>
          <w:szCs w:val="21"/>
          <w:lang w:eastAsia="it-IT"/>
        </w:rPr>
        <w:t> e sulla tipologia di </w:t>
      </w:r>
      <w:r w:rsidRPr="0003731C">
        <w:rPr>
          <w:rFonts w:ascii="Arial" w:eastAsia="Times New Roman" w:hAnsi="Arial" w:cs="Arial"/>
          <w:b/>
          <w:bCs/>
          <w:color w:val="000000"/>
          <w:sz w:val="21"/>
          <w:szCs w:val="21"/>
          <w:lang w:eastAsia="it-IT"/>
        </w:rPr>
        <w:t>rapporto di lavoro</w:t>
      </w:r>
      <w:r w:rsidRPr="0003731C">
        <w:rPr>
          <w:rFonts w:ascii="Arial" w:eastAsia="Times New Roman" w:hAnsi="Arial" w:cs="Arial"/>
          <w:color w:val="000000"/>
          <w:sz w:val="21"/>
          <w:szCs w:val="21"/>
          <w:lang w:eastAsia="it-IT"/>
        </w:rPr>
        <w:t xml:space="preserve"> che le scuole dovrebbero instaurare con il personale. A questo proposito, abbiamo ribadito con forza la necessità di tutela delle lavoratrici e dei lavoratori attraverso l’applicazione del contratto nazionale e di pieno coinvolgimento di tutta la comunità educante nella predisposizione delle attività estive, a partire dagli Organi Collegiali e dalle </w:t>
      </w:r>
      <w:bookmarkEnd w:id="0"/>
      <w:r>
        <w:rPr>
          <w:rFonts w:ascii="Arial" w:eastAsia="Times New Roman" w:hAnsi="Arial" w:cs="Arial"/>
          <w:color w:val="005EB3"/>
          <w:sz w:val="21"/>
          <w:szCs w:val="21"/>
          <w:u w:val="single"/>
          <w:lang w:eastAsia="it-IT"/>
        </w:rPr>
        <w:t>RSU.</w:t>
      </w:r>
      <w:bookmarkStart w:id="1" w:name="_GoBack"/>
      <w:bookmarkEnd w:id="1"/>
    </w:p>
    <w:p w:rsidR="0003731C" w:rsidRPr="0003731C" w:rsidRDefault="0003731C" w:rsidP="0003731C">
      <w:pPr>
        <w:spacing w:after="0" w:line="240" w:lineRule="auto"/>
        <w:outlineLvl w:val="1"/>
        <w:rPr>
          <w:rFonts w:ascii="Arial" w:eastAsia="Times New Roman" w:hAnsi="Arial" w:cs="Arial"/>
          <w:color w:val="FFFFFF"/>
          <w:sz w:val="24"/>
          <w:szCs w:val="24"/>
          <w:lang w:eastAsia="it-IT"/>
        </w:rPr>
      </w:pPr>
      <w:r w:rsidRPr="0003731C">
        <w:rPr>
          <w:rFonts w:ascii="Arial" w:eastAsia="Times New Roman" w:hAnsi="Arial" w:cs="Arial"/>
          <w:color w:val="FFFFFF"/>
          <w:sz w:val="24"/>
          <w:szCs w:val="24"/>
          <w:lang w:eastAsia="it-IT"/>
        </w:rPr>
        <w:t>Servizi e comunicazioni</w:t>
      </w:r>
    </w:p>
    <w:p w:rsidR="0003731C" w:rsidRPr="0003731C" w:rsidRDefault="0003731C" w:rsidP="0003731C">
      <w:pPr>
        <w:shd w:val="clear" w:color="auto" w:fill="FFFFFF"/>
        <w:spacing w:after="150" w:line="240" w:lineRule="auto"/>
        <w:rPr>
          <w:rFonts w:ascii="Arial" w:eastAsia="Times New Roman" w:hAnsi="Arial" w:cs="Arial"/>
          <w:color w:val="000000"/>
          <w:sz w:val="21"/>
          <w:szCs w:val="21"/>
          <w:lang w:eastAsia="it-IT"/>
        </w:rPr>
      </w:pPr>
      <w:r w:rsidRPr="0003731C">
        <w:rPr>
          <w:rFonts w:ascii="Arial" w:eastAsia="Times New Roman" w:hAnsi="Arial" w:cs="Arial"/>
          <w:color w:val="000000"/>
          <w:sz w:val="21"/>
          <w:szCs w:val="21"/>
          <w:lang w:eastAsia="it-IT"/>
        </w:rPr>
        <w:t>   </w:t>
      </w:r>
    </w:p>
    <w:p w:rsidR="0003731C" w:rsidRPr="0003731C" w:rsidRDefault="0003731C" w:rsidP="0003731C">
      <w:pPr>
        <w:spacing w:after="0" w:line="240" w:lineRule="auto"/>
        <w:outlineLvl w:val="4"/>
        <w:rPr>
          <w:rFonts w:ascii="Arial" w:eastAsia="Times New Roman" w:hAnsi="Arial" w:cs="Arial"/>
          <w:color w:val="FFFFFF"/>
          <w:sz w:val="24"/>
          <w:szCs w:val="24"/>
          <w:lang w:eastAsia="it-IT"/>
        </w:rPr>
      </w:pPr>
      <w:r w:rsidRPr="0003731C">
        <w:rPr>
          <w:rFonts w:ascii="Arial" w:eastAsia="Times New Roman" w:hAnsi="Arial" w:cs="Arial"/>
          <w:color w:val="FFFFFF"/>
          <w:sz w:val="24"/>
          <w:szCs w:val="24"/>
          <w:lang w:eastAsia="it-IT"/>
        </w:rPr>
        <w:t>Riv</w:t>
      </w:r>
      <w:r>
        <w:rPr>
          <w:rFonts w:ascii="Arial" w:eastAsia="Times New Roman" w:hAnsi="Arial" w:cs="Arial"/>
          <w:color w:val="FFFFFF"/>
          <w:sz w:val="24"/>
          <w:szCs w:val="24"/>
          <w:lang w:eastAsia="it-IT"/>
        </w:rPr>
        <w:t xml:space="preserve">ista mensile Edizioni </w:t>
      </w:r>
      <w:proofErr w:type="spellStart"/>
      <w:r>
        <w:rPr>
          <w:rFonts w:ascii="Arial" w:eastAsia="Times New Roman" w:hAnsi="Arial" w:cs="Arial"/>
          <w:color w:val="FFFFFF"/>
          <w:sz w:val="24"/>
          <w:szCs w:val="24"/>
          <w:lang w:eastAsia="it-IT"/>
        </w:rPr>
        <w:t>Conoscenz</w:t>
      </w:r>
      <w:proofErr w:type="spellEnd"/>
    </w:p>
    <w:sectPr w:rsidR="0003731C" w:rsidRPr="000373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53518"/>
    <w:multiLevelType w:val="multilevel"/>
    <w:tmpl w:val="1CC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1C"/>
    <w:rsid w:val="0003731C"/>
    <w:rsid w:val="008D4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0C85"/>
  <w15:chartTrackingRefBased/>
  <w15:docId w15:val="{8C4E2CDD-5CFA-484D-B34D-43BE1770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31232">
      <w:bodyDiv w:val="1"/>
      <w:marLeft w:val="0"/>
      <w:marRight w:val="0"/>
      <w:marTop w:val="0"/>
      <w:marBottom w:val="0"/>
      <w:divBdr>
        <w:top w:val="none" w:sz="0" w:space="0" w:color="auto"/>
        <w:left w:val="none" w:sz="0" w:space="0" w:color="auto"/>
        <w:bottom w:val="none" w:sz="0" w:space="0" w:color="auto"/>
        <w:right w:val="none" w:sz="0" w:space="0" w:color="auto"/>
      </w:divBdr>
      <w:divsChild>
        <w:div w:id="1606305831">
          <w:marLeft w:val="300"/>
          <w:marRight w:val="300"/>
          <w:marTop w:val="0"/>
          <w:marBottom w:val="0"/>
          <w:divBdr>
            <w:top w:val="none" w:sz="0" w:space="0" w:color="auto"/>
            <w:left w:val="none" w:sz="0" w:space="0" w:color="auto"/>
            <w:bottom w:val="none" w:sz="0" w:space="0" w:color="auto"/>
            <w:right w:val="none" w:sz="0" w:space="0" w:color="auto"/>
          </w:divBdr>
          <w:divsChild>
            <w:div w:id="1097366716">
              <w:marLeft w:val="0"/>
              <w:marRight w:val="0"/>
              <w:marTop w:val="0"/>
              <w:marBottom w:val="0"/>
              <w:divBdr>
                <w:top w:val="none" w:sz="0" w:space="0" w:color="auto"/>
                <w:left w:val="none" w:sz="0" w:space="0" w:color="auto"/>
                <w:bottom w:val="none" w:sz="0" w:space="0" w:color="auto"/>
                <w:right w:val="none" w:sz="0" w:space="0" w:color="auto"/>
              </w:divBdr>
              <w:divsChild>
                <w:div w:id="869953005">
                  <w:marLeft w:val="0"/>
                  <w:marRight w:val="0"/>
                  <w:marTop w:val="150"/>
                  <w:marBottom w:val="150"/>
                  <w:divBdr>
                    <w:top w:val="none" w:sz="0" w:space="0" w:color="auto"/>
                    <w:left w:val="none" w:sz="0" w:space="0" w:color="auto"/>
                    <w:bottom w:val="single" w:sz="6" w:space="0" w:color="CCCCCC"/>
                    <w:right w:val="none" w:sz="0" w:space="0" w:color="auto"/>
                  </w:divBdr>
                  <w:divsChild>
                    <w:div w:id="1905869510">
                      <w:marLeft w:val="0"/>
                      <w:marRight w:val="0"/>
                      <w:marTop w:val="0"/>
                      <w:marBottom w:val="0"/>
                      <w:divBdr>
                        <w:top w:val="none" w:sz="0" w:space="0" w:color="auto"/>
                        <w:left w:val="none" w:sz="0" w:space="0" w:color="auto"/>
                        <w:bottom w:val="none" w:sz="0" w:space="0" w:color="auto"/>
                        <w:right w:val="none" w:sz="0" w:space="0" w:color="auto"/>
                      </w:divBdr>
                    </w:div>
                  </w:divsChild>
                </w:div>
                <w:div w:id="722943086">
                  <w:marLeft w:val="0"/>
                  <w:marRight w:val="0"/>
                  <w:marTop w:val="0"/>
                  <w:marBottom w:val="0"/>
                  <w:divBdr>
                    <w:top w:val="none" w:sz="0" w:space="0" w:color="auto"/>
                    <w:left w:val="none" w:sz="0" w:space="0" w:color="auto"/>
                    <w:bottom w:val="none" w:sz="0" w:space="0" w:color="auto"/>
                    <w:right w:val="none" w:sz="0" w:space="0" w:color="auto"/>
                  </w:divBdr>
                  <w:divsChild>
                    <w:div w:id="918028455">
                      <w:marLeft w:val="0"/>
                      <w:marRight w:val="0"/>
                      <w:marTop w:val="0"/>
                      <w:marBottom w:val="0"/>
                      <w:divBdr>
                        <w:top w:val="none" w:sz="0" w:space="0" w:color="auto"/>
                        <w:left w:val="none" w:sz="0" w:space="0" w:color="auto"/>
                        <w:bottom w:val="none" w:sz="0" w:space="0" w:color="auto"/>
                        <w:right w:val="none" w:sz="0" w:space="0" w:color="auto"/>
                      </w:divBdr>
                    </w:div>
                    <w:div w:id="214238898">
                      <w:marLeft w:val="300"/>
                      <w:marRight w:val="150"/>
                      <w:marTop w:val="75"/>
                      <w:marBottom w:val="0"/>
                      <w:divBdr>
                        <w:top w:val="none" w:sz="0" w:space="0" w:color="auto"/>
                        <w:left w:val="none" w:sz="0" w:space="0" w:color="auto"/>
                        <w:bottom w:val="none" w:sz="0" w:space="0" w:color="auto"/>
                        <w:right w:val="none" w:sz="0" w:space="0" w:color="auto"/>
                      </w:divBdr>
                    </w:div>
                    <w:div w:id="1522670358">
                      <w:marLeft w:val="300"/>
                      <w:marRight w:val="150"/>
                      <w:marTop w:val="75"/>
                      <w:marBottom w:val="0"/>
                      <w:divBdr>
                        <w:top w:val="none" w:sz="0" w:space="0" w:color="auto"/>
                        <w:left w:val="none" w:sz="0" w:space="0" w:color="auto"/>
                        <w:bottom w:val="none" w:sz="0" w:space="0" w:color="auto"/>
                        <w:right w:val="none" w:sz="0" w:space="0" w:color="auto"/>
                      </w:divBdr>
                    </w:div>
                  </w:divsChild>
                </w:div>
                <w:div w:id="1633943708">
                  <w:marLeft w:val="0"/>
                  <w:marRight w:val="0"/>
                  <w:marTop w:val="75"/>
                  <w:marBottom w:val="150"/>
                  <w:divBdr>
                    <w:top w:val="none" w:sz="0" w:space="0" w:color="auto"/>
                    <w:left w:val="none" w:sz="0" w:space="0" w:color="auto"/>
                    <w:bottom w:val="none" w:sz="0" w:space="0" w:color="auto"/>
                    <w:right w:val="none" w:sz="0" w:space="0" w:color="auto"/>
                  </w:divBdr>
                </w:div>
                <w:div w:id="530067981">
                  <w:marLeft w:val="0"/>
                  <w:marRight w:val="0"/>
                  <w:marTop w:val="0"/>
                  <w:marBottom w:val="0"/>
                  <w:divBdr>
                    <w:top w:val="none" w:sz="0" w:space="0" w:color="auto"/>
                    <w:left w:val="none" w:sz="0" w:space="0" w:color="auto"/>
                    <w:bottom w:val="none" w:sz="0" w:space="0" w:color="auto"/>
                    <w:right w:val="none" w:sz="0" w:space="0" w:color="auto"/>
                  </w:divBdr>
                  <w:divsChild>
                    <w:div w:id="1455324048">
                      <w:marLeft w:val="0"/>
                      <w:marRight w:val="0"/>
                      <w:marTop w:val="0"/>
                      <w:marBottom w:val="0"/>
                      <w:divBdr>
                        <w:top w:val="none" w:sz="0" w:space="0" w:color="auto"/>
                        <w:left w:val="none" w:sz="0" w:space="0" w:color="auto"/>
                        <w:bottom w:val="none" w:sz="0" w:space="0" w:color="auto"/>
                        <w:right w:val="none" w:sz="0" w:space="0" w:color="auto"/>
                      </w:divBdr>
                    </w:div>
                    <w:div w:id="1981381869">
                      <w:marLeft w:val="300"/>
                      <w:marRight w:val="150"/>
                      <w:marTop w:val="75"/>
                      <w:marBottom w:val="0"/>
                      <w:divBdr>
                        <w:top w:val="none" w:sz="0" w:space="0" w:color="auto"/>
                        <w:left w:val="none" w:sz="0" w:space="0" w:color="auto"/>
                        <w:bottom w:val="none" w:sz="0" w:space="0" w:color="auto"/>
                        <w:right w:val="none" w:sz="0" w:space="0" w:color="auto"/>
                      </w:divBdr>
                    </w:div>
                    <w:div w:id="1284144251">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067798833">
          <w:marLeft w:val="0"/>
          <w:marRight w:val="0"/>
          <w:marTop w:val="0"/>
          <w:marBottom w:val="0"/>
          <w:divBdr>
            <w:top w:val="none" w:sz="0" w:space="0" w:color="auto"/>
            <w:left w:val="none" w:sz="0" w:space="0" w:color="auto"/>
            <w:bottom w:val="none" w:sz="0" w:space="0" w:color="auto"/>
            <w:right w:val="none" w:sz="0" w:space="0" w:color="auto"/>
          </w:divBdr>
          <w:divsChild>
            <w:div w:id="261455418">
              <w:marLeft w:val="0"/>
              <w:marRight w:val="0"/>
              <w:marTop w:val="0"/>
              <w:marBottom w:val="150"/>
              <w:divBdr>
                <w:top w:val="none" w:sz="0" w:space="0" w:color="auto"/>
                <w:left w:val="none" w:sz="0" w:space="0" w:color="auto"/>
                <w:bottom w:val="none" w:sz="0" w:space="0" w:color="auto"/>
                <w:right w:val="none" w:sz="0" w:space="0" w:color="auto"/>
              </w:divBdr>
            </w:div>
            <w:div w:id="2027902941">
              <w:marLeft w:val="0"/>
              <w:marRight w:val="0"/>
              <w:marTop w:val="0"/>
              <w:marBottom w:val="0"/>
              <w:divBdr>
                <w:top w:val="none" w:sz="0" w:space="0" w:color="auto"/>
                <w:left w:val="none" w:sz="0" w:space="0" w:color="auto"/>
                <w:bottom w:val="single" w:sz="6" w:space="8" w:color="D9D9D9"/>
                <w:right w:val="none" w:sz="0" w:space="0" w:color="auto"/>
              </w:divBdr>
              <w:divsChild>
                <w:div w:id="764805373">
                  <w:marLeft w:val="150"/>
                  <w:marRight w:val="150"/>
                  <w:marTop w:val="0"/>
                  <w:marBottom w:val="150"/>
                  <w:divBdr>
                    <w:top w:val="none" w:sz="0" w:space="0" w:color="auto"/>
                    <w:left w:val="none" w:sz="0" w:space="0" w:color="auto"/>
                    <w:bottom w:val="none" w:sz="0" w:space="0" w:color="auto"/>
                    <w:right w:val="none" w:sz="0" w:space="0" w:color="auto"/>
                  </w:divBdr>
                </w:div>
              </w:divsChild>
            </w:div>
            <w:div w:id="1688168999">
              <w:marLeft w:val="0"/>
              <w:marRight w:val="0"/>
              <w:marTop w:val="0"/>
              <w:marBottom w:val="0"/>
              <w:divBdr>
                <w:top w:val="none" w:sz="0" w:space="0" w:color="auto"/>
                <w:left w:val="none" w:sz="0" w:space="0" w:color="auto"/>
                <w:bottom w:val="none" w:sz="0" w:space="0" w:color="auto"/>
                <w:right w:val="none" w:sz="0" w:space="0" w:color="auto"/>
              </w:divBdr>
            </w:div>
            <w:div w:id="1411122879">
              <w:marLeft w:val="0"/>
              <w:marRight w:val="0"/>
              <w:marTop w:val="0"/>
              <w:marBottom w:val="0"/>
              <w:divBdr>
                <w:top w:val="none" w:sz="0" w:space="0" w:color="auto"/>
                <w:left w:val="none" w:sz="0" w:space="0" w:color="auto"/>
                <w:bottom w:val="single" w:sz="6" w:space="8" w:color="D9D9D9"/>
                <w:right w:val="none" w:sz="0" w:space="0" w:color="auto"/>
              </w:divBdr>
              <w:divsChild>
                <w:div w:id="1981498889">
                  <w:marLeft w:val="150"/>
                  <w:marRight w:val="150"/>
                  <w:marTop w:val="0"/>
                  <w:marBottom w:val="150"/>
                  <w:divBdr>
                    <w:top w:val="none" w:sz="0" w:space="0" w:color="auto"/>
                    <w:left w:val="none" w:sz="0" w:space="0" w:color="auto"/>
                    <w:bottom w:val="none" w:sz="0" w:space="0" w:color="auto"/>
                    <w:right w:val="none" w:sz="0" w:space="0" w:color="auto"/>
                  </w:divBdr>
                </w:div>
              </w:divsChild>
            </w:div>
            <w:div w:id="1672177284">
              <w:marLeft w:val="0"/>
              <w:marRight w:val="0"/>
              <w:marTop w:val="0"/>
              <w:marBottom w:val="0"/>
              <w:divBdr>
                <w:top w:val="none" w:sz="0" w:space="0" w:color="auto"/>
                <w:left w:val="none" w:sz="0" w:space="0" w:color="auto"/>
                <w:bottom w:val="single" w:sz="6" w:space="8" w:color="D9D9D9"/>
                <w:right w:val="none" w:sz="0" w:space="0" w:color="auto"/>
              </w:divBdr>
            </w:div>
            <w:div w:id="1257833980">
              <w:marLeft w:val="0"/>
              <w:marRight w:val="0"/>
              <w:marTop w:val="0"/>
              <w:marBottom w:val="0"/>
              <w:divBdr>
                <w:top w:val="none" w:sz="0" w:space="0" w:color="auto"/>
                <w:left w:val="none" w:sz="0" w:space="0" w:color="auto"/>
                <w:bottom w:val="single" w:sz="6" w:space="8" w:color="D9D9D9"/>
                <w:right w:val="none" w:sz="0" w:space="0" w:color="auto"/>
              </w:divBdr>
              <w:divsChild>
                <w:div w:id="1294823774">
                  <w:marLeft w:val="150"/>
                  <w:marRight w:val="150"/>
                  <w:marTop w:val="0"/>
                  <w:marBottom w:val="150"/>
                  <w:divBdr>
                    <w:top w:val="none" w:sz="0" w:space="0" w:color="auto"/>
                    <w:left w:val="none" w:sz="0" w:space="0" w:color="auto"/>
                    <w:bottom w:val="none" w:sz="0" w:space="0" w:color="auto"/>
                    <w:right w:val="none" w:sz="0" w:space="0" w:color="auto"/>
                  </w:divBdr>
                </w:div>
              </w:divsChild>
            </w:div>
            <w:div w:id="359362337">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2021-04-27T07:50:00Z</dcterms:created>
  <dcterms:modified xsi:type="dcterms:W3CDTF">2021-04-27T07:54:00Z</dcterms:modified>
</cp:coreProperties>
</file>