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bookmarkStart w:id="0" w:name="_GoBack"/>
      <w:bookmarkEnd w:id="0"/>
      <w:r w:rsidRPr="002628DC">
        <w:rPr>
          <w:rFonts w:ascii="Arial" w:eastAsia="Times New Roman" w:hAnsi="Arial" w:cs="Arial"/>
          <w:color w:val="000000"/>
          <w:sz w:val="21"/>
          <w:szCs w:val="21"/>
          <w:lang w:eastAsia="it-IT"/>
        </w:rPr>
        <w:t> </w:t>
      </w:r>
      <w:hyperlink r:id="rId6" w:tgtFrame="_blank" w:history="1">
        <w:r w:rsidRPr="002628DC">
          <w:rPr>
            <w:rFonts w:ascii="Arial" w:eastAsia="Times New Roman" w:hAnsi="Arial" w:cs="Arial"/>
            <w:color w:val="005EB3"/>
            <w:sz w:val="21"/>
            <w:szCs w:val="21"/>
            <w:u w:val="single"/>
            <w:lang w:eastAsia="it-IT"/>
          </w:rPr>
          <w:t>Decreto Legge 162/19</w:t>
        </w:r>
      </w:hyperlink>
      <w:r w:rsidRPr="002628DC">
        <w:rPr>
          <w:rFonts w:ascii="Arial" w:eastAsia="Times New Roman" w:hAnsi="Arial" w:cs="Arial"/>
          <w:color w:val="000000"/>
          <w:sz w:val="21"/>
          <w:szCs w:val="21"/>
          <w:lang w:eastAsia="it-IT"/>
        </w:rPr>
        <w:t> “</w:t>
      </w:r>
      <w:r w:rsidRPr="002628DC">
        <w:rPr>
          <w:rFonts w:ascii="Arial" w:eastAsia="Times New Roman" w:hAnsi="Arial" w:cs="Arial"/>
          <w:i/>
          <w:iCs/>
          <w:color w:val="000000"/>
          <w:sz w:val="21"/>
          <w:szCs w:val="21"/>
          <w:lang w:eastAsia="it-IT"/>
        </w:rPr>
        <w:t>Disposizioni urgenti in materia di proroga di termini legislativi, di organizzazione delle pubbliche amministrazioni, nonché di innovazione tecnologica</w:t>
      </w:r>
      <w:r>
        <w:rPr>
          <w:rFonts w:ascii="Arial" w:eastAsia="Times New Roman" w:hAnsi="Arial" w:cs="Arial"/>
          <w:color w:val="000000"/>
          <w:sz w:val="21"/>
          <w:szCs w:val="21"/>
          <w:lang w:eastAsia="it-IT"/>
        </w:rPr>
        <w:t xml:space="preserve">”, </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Di seguito una </w:t>
      </w:r>
      <w:r w:rsidRPr="002628DC">
        <w:rPr>
          <w:rFonts w:ascii="Arial" w:eastAsia="Times New Roman" w:hAnsi="Arial" w:cs="Arial"/>
          <w:b/>
          <w:bCs/>
          <w:color w:val="000000"/>
          <w:sz w:val="21"/>
          <w:szCs w:val="21"/>
          <w:lang w:eastAsia="it-IT"/>
        </w:rPr>
        <w:t>sintesi delle norme già presenti nel decreto legge e degli emendamenti approvati</w:t>
      </w:r>
      <w:r w:rsidRPr="002628DC">
        <w:rPr>
          <w:rFonts w:ascii="Arial" w:eastAsia="Times New Roman" w:hAnsi="Arial" w:cs="Arial"/>
          <w:color w:val="000000"/>
          <w:sz w:val="21"/>
          <w:szCs w:val="21"/>
          <w:lang w:eastAsia="it-IT"/>
        </w:rPr>
        <w:t> in base al testo coordinato predisposto dagli uffici parlamentari.</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Scuola</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Il </w:t>
      </w:r>
      <w:r w:rsidRPr="002628DC">
        <w:rPr>
          <w:rFonts w:ascii="Arial" w:eastAsia="Times New Roman" w:hAnsi="Arial" w:cs="Arial"/>
          <w:b/>
          <w:bCs/>
          <w:color w:val="000000"/>
          <w:sz w:val="23"/>
          <w:szCs w:val="23"/>
          <w:lang w:eastAsia="it-IT"/>
        </w:rPr>
        <w:t>concorso straordinario</w:t>
      </w:r>
      <w:r w:rsidRPr="002628DC">
        <w:rPr>
          <w:rFonts w:ascii="Arial" w:eastAsia="Times New Roman" w:hAnsi="Arial" w:cs="Arial"/>
          <w:color w:val="000000"/>
          <w:sz w:val="23"/>
          <w:szCs w:val="23"/>
          <w:lang w:eastAsia="it-IT"/>
        </w:rPr>
        <w:t>, il </w:t>
      </w:r>
      <w:r w:rsidRPr="002628DC">
        <w:rPr>
          <w:rFonts w:ascii="Arial" w:eastAsia="Times New Roman" w:hAnsi="Arial" w:cs="Arial"/>
          <w:b/>
          <w:bCs/>
          <w:color w:val="000000"/>
          <w:sz w:val="23"/>
          <w:szCs w:val="23"/>
          <w:lang w:eastAsia="it-IT"/>
        </w:rPr>
        <w:t>concorso ordinario</w:t>
      </w:r>
      <w:r w:rsidRPr="002628DC">
        <w:rPr>
          <w:rFonts w:ascii="Arial" w:eastAsia="Times New Roman" w:hAnsi="Arial" w:cs="Arial"/>
          <w:color w:val="000000"/>
          <w:sz w:val="23"/>
          <w:szCs w:val="23"/>
          <w:lang w:eastAsia="it-IT"/>
        </w:rPr>
        <w:t>, la </w:t>
      </w:r>
      <w:r w:rsidRPr="002628DC">
        <w:rPr>
          <w:rFonts w:ascii="Arial" w:eastAsia="Times New Roman" w:hAnsi="Arial" w:cs="Arial"/>
          <w:b/>
          <w:bCs/>
          <w:color w:val="000000"/>
          <w:sz w:val="23"/>
          <w:szCs w:val="23"/>
          <w:lang w:eastAsia="it-IT"/>
        </w:rPr>
        <w:t>procedura straordinaria per il conseguimento dell’abilitazione</w:t>
      </w:r>
      <w:r w:rsidRPr="002628DC">
        <w:rPr>
          <w:rFonts w:ascii="Arial" w:eastAsia="Times New Roman" w:hAnsi="Arial" w:cs="Arial"/>
          <w:color w:val="000000"/>
          <w:sz w:val="23"/>
          <w:szCs w:val="23"/>
          <w:lang w:eastAsia="it-IT"/>
        </w:rPr>
        <w:t> nella scuola secondaria, previsti dall’art. 1 comma 1 del </w:t>
      </w:r>
      <w:hyperlink r:id="rId7" w:tgtFrame="_blank" w:history="1">
        <w:r w:rsidRPr="002628DC">
          <w:rPr>
            <w:rFonts w:ascii="Arial" w:eastAsia="Times New Roman" w:hAnsi="Arial" w:cs="Arial"/>
            <w:color w:val="005EB3"/>
            <w:sz w:val="23"/>
            <w:szCs w:val="23"/>
            <w:u w:val="single"/>
            <w:lang w:eastAsia="it-IT"/>
          </w:rPr>
          <w:t>decreto legge 126/19</w:t>
        </w:r>
      </w:hyperlink>
      <w:r w:rsidRPr="002628DC">
        <w:rPr>
          <w:rFonts w:ascii="Arial" w:eastAsia="Times New Roman" w:hAnsi="Arial" w:cs="Arial"/>
          <w:color w:val="000000"/>
          <w:sz w:val="23"/>
          <w:szCs w:val="23"/>
          <w:lang w:eastAsia="it-IT"/>
        </w:rPr>
        <w:t> devono essere banditi </w:t>
      </w:r>
      <w:r w:rsidRPr="002628DC">
        <w:rPr>
          <w:rFonts w:ascii="Arial" w:eastAsia="Times New Roman" w:hAnsi="Arial" w:cs="Arial"/>
          <w:b/>
          <w:bCs/>
          <w:color w:val="000000"/>
          <w:sz w:val="23"/>
          <w:szCs w:val="23"/>
          <w:lang w:eastAsia="it-IT"/>
        </w:rPr>
        <w:t>entro il 30 aprile 2020.</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 </w:t>
      </w:r>
      <w:r w:rsidRPr="002628DC">
        <w:rPr>
          <w:rFonts w:ascii="Arial" w:eastAsia="Times New Roman" w:hAnsi="Arial" w:cs="Arial"/>
          <w:b/>
          <w:bCs/>
          <w:color w:val="000000"/>
          <w:sz w:val="23"/>
          <w:szCs w:val="23"/>
          <w:lang w:eastAsia="it-IT"/>
        </w:rPr>
        <w:t>prova scritta relativa al concorso straordinario</w:t>
      </w:r>
      <w:r w:rsidRPr="002628DC">
        <w:rPr>
          <w:rFonts w:ascii="Arial" w:eastAsia="Times New Roman" w:hAnsi="Arial" w:cs="Arial"/>
          <w:color w:val="000000"/>
          <w:sz w:val="23"/>
          <w:szCs w:val="23"/>
          <w:lang w:eastAsia="it-IT"/>
        </w:rPr>
        <w:t> della scuola secondaria e alla procedura finalizzata all'abilitazione all'insegnamento nella scuola secondaria riguarderà il programma di esame previsto per il concorso ordinario per titoli ed esami e non quello del concorso per titoli ed esami del 2016.</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In relazione al </w:t>
      </w:r>
      <w:r w:rsidRPr="002628DC">
        <w:rPr>
          <w:rFonts w:ascii="Arial" w:eastAsia="Times New Roman" w:hAnsi="Arial" w:cs="Arial"/>
          <w:b/>
          <w:bCs/>
          <w:color w:val="000000"/>
          <w:sz w:val="23"/>
          <w:szCs w:val="23"/>
          <w:lang w:eastAsia="it-IT"/>
        </w:rPr>
        <w:t>concorso per titoli ed esami della scuola secondaria</w:t>
      </w:r>
      <w:r w:rsidRPr="002628DC">
        <w:rPr>
          <w:rFonts w:ascii="Arial" w:eastAsia="Times New Roman" w:hAnsi="Arial" w:cs="Arial"/>
          <w:color w:val="000000"/>
          <w:sz w:val="23"/>
          <w:szCs w:val="23"/>
          <w:lang w:eastAsia="it-IT"/>
        </w:rPr>
        <w:t> viene modificato l’articolo 3 comma 6 del D.Lgs. 59/17. L’emendamento approvato prevede che con decreto del Ministro dell'istruzione è costituita una commissione nazionale di esperti per la definizione delle </w:t>
      </w:r>
      <w:r w:rsidRPr="002628DC">
        <w:rPr>
          <w:rFonts w:ascii="Arial" w:eastAsia="Times New Roman" w:hAnsi="Arial" w:cs="Arial"/>
          <w:b/>
          <w:bCs/>
          <w:color w:val="000000"/>
          <w:sz w:val="23"/>
          <w:szCs w:val="23"/>
          <w:lang w:eastAsia="it-IT"/>
        </w:rPr>
        <w:t>prove scritte</w:t>
      </w:r>
      <w:r w:rsidRPr="002628DC">
        <w:rPr>
          <w:rFonts w:ascii="Arial" w:eastAsia="Times New Roman" w:hAnsi="Arial" w:cs="Arial"/>
          <w:color w:val="000000"/>
          <w:sz w:val="23"/>
          <w:szCs w:val="23"/>
          <w:lang w:eastAsia="it-IT"/>
        </w:rPr>
        <w:t> e delle relative griglie di valutazione. In precedenza, era prevista la costituzione di una commissione nazionale di esperti per la definizione delle tracce delle </w:t>
      </w:r>
      <w:r w:rsidRPr="002628DC">
        <w:rPr>
          <w:rFonts w:ascii="Arial" w:eastAsia="Times New Roman" w:hAnsi="Arial" w:cs="Arial"/>
          <w:b/>
          <w:bCs/>
          <w:color w:val="000000"/>
          <w:sz w:val="23"/>
          <w:szCs w:val="23"/>
          <w:lang w:eastAsia="it-IT"/>
        </w:rPr>
        <w:t>prove d'esame</w:t>
      </w:r>
      <w:r w:rsidRPr="002628DC">
        <w:rPr>
          <w:rFonts w:ascii="Arial" w:eastAsia="Times New Roman" w:hAnsi="Arial" w:cs="Arial"/>
          <w:color w:val="000000"/>
          <w:sz w:val="23"/>
          <w:szCs w:val="23"/>
          <w:lang w:eastAsia="it-IT"/>
        </w:rPr>
        <w:t> e delle relative griglie di valutazione.</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L’adozione del </w:t>
      </w:r>
      <w:r w:rsidRPr="002628DC">
        <w:rPr>
          <w:rFonts w:ascii="Arial" w:eastAsia="Times New Roman" w:hAnsi="Arial" w:cs="Arial"/>
          <w:b/>
          <w:bCs/>
          <w:color w:val="000000"/>
          <w:sz w:val="23"/>
          <w:szCs w:val="23"/>
          <w:lang w:eastAsia="it-IT"/>
        </w:rPr>
        <w:t>curriculum dello studente</w:t>
      </w:r>
      <w:r w:rsidRPr="002628DC">
        <w:rPr>
          <w:rFonts w:ascii="Arial" w:eastAsia="Times New Roman" w:hAnsi="Arial" w:cs="Arial"/>
          <w:color w:val="000000"/>
          <w:sz w:val="23"/>
          <w:szCs w:val="23"/>
          <w:lang w:eastAsia="it-IT"/>
        </w:rPr>
        <w:t> allegato al diploma di scuola secondaria di II grado, previsto dall’art. 21 comma 2 del </w:t>
      </w:r>
      <w:hyperlink r:id="rId8" w:tgtFrame="_blank" w:history="1">
        <w:r w:rsidRPr="002628DC">
          <w:rPr>
            <w:rFonts w:ascii="Arial" w:eastAsia="Times New Roman" w:hAnsi="Arial" w:cs="Arial"/>
            <w:color w:val="005EB3"/>
            <w:sz w:val="23"/>
            <w:szCs w:val="23"/>
            <w:u w:val="single"/>
            <w:lang w:eastAsia="it-IT"/>
          </w:rPr>
          <w:t>Decreto Legislativo 62/17</w:t>
        </w:r>
      </w:hyperlink>
      <w:r w:rsidRPr="002628DC">
        <w:rPr>
          <w:rFonts w:ascii="Arial" w:eastAsia="Times New Roman" w:hAnsi="Arial" w:cs="Arial"/>
          <w:color w:val="000000"/>
          <w:sz w:val="23"/>
          <w:szCs w:val="23"/>
          <w:lang w:eastAsia="it-IT"/>
        </w:rPr>
        <w:t> e dall’art. 1 comma 28 della </w:t>
      </w:r>
      <w:hyperlink r:id="rId9" w:tgtFrame="_blank" w:history="1">
        <w:r w:rsidRPr="002628DC">
          <w:rPr>
            <w:rFonts w:ascii="Arial" w:eastAsia="Times New Roman" w:hAnsi="Arial" w:cs="Arial"/>
            <w:color w:val="005EB3"/>
            <w:sz w:val="23"/>
            <w:szCs w:val="23"/>
            <w:u w:val="single"/>
            <w:lang w:eastAsia="it-IT"/>
          </w:rPr>
          <w:t>Legge 107/15</w:t>
        </w:r>
      </w:hyperlink>
      <w:r w:rsidRPr="002628DC">
        <w:rPr>
          <w:rFonts w:ascii="Arial" w:eastAsia="Times New Roman" w:hAnsi="Arial" w:cs="Arial"/>
          <w:color w:val="000000"/>
          <w:sz w:val="23"/>
          <w:szCs w:val="23"/>
          <w:lang w:eastAsia="it-IT"/>
        </w:rPr>
        <w:t>, è </w:t>
      </w:r>
      <w:r w:rsidRPr="002628DC">
        <w:rPr>
          <w:rFonts w:ascii="Arial" w:eastAsia="Times New Roman" w:hAnsi="Arial" w:cs="Arial"/>
          <w:b/>
          <w:bCs/>
          <w:color w:val="000000"/>
          <w:sz w:val="23"/>
          <w:szCs w:val="23"/>
          <w:lang w:eastAsia="it-IT"/>
        </w:rPr>
        <w:t>posticipato di un anno</w:t>
      </w:r>
      <w:r w:rsidRPr="002628DC">
        <w:rPr>
          <w:rFonts w:ascii="Arial" w:eastAsia="Times New Roman" w:hAnsi="Arial" w:cs="Arial"/>
          <w:color w:val="000000"/>
          <w:sz w:val="23"/>
          <w:szCs w:val="23"/>
          <w:lang w:eastAsia="it-IT"/>
        </w:rPr>
        <w:t>. Vengono cancellate le norme che prevedono l’inserimento nel curriculum dei livelli di apprendimento conseguiti nelle prove scritte a carattere nazionale INVALSI che si effettuano al V anno. In una apposita sezione saranno indicate le competenze, le conoscenze e le abilità anche professionali acquisite e le attività culturali, artistiche e di pratiche musicali, sportive e di volontariato, svolte in ambito extra scolastico nonché le attività di alternanza scuola-lavoro (ora pcto) ed altre eventuali certificazioni conseguite, anche ai fini dell'orientamento e dell'accesso al mondo del lavoro. Le istituzioni scolastiche possono utilizzare il curriculum già a partire da quest’anno su base sperimentale e facoltativa. </w:t>
      </w:r>
      <w:r w:rsidRPr="002628DC">
        <w:rPr>
          <w:rFonts w:ascii="Arial" w:eastAsia="Times New Roman" w:hAnsi="Arial" w:cs="Arial"/>
          <w:b/>
          <w:bCs/>
          <w:color w:val="000000"/>
          <w:sz w:val="23"/>
          <w:szCs w:val="23"/>
          <w:lang w:eastAsia="it-IT"/>
        </w:rPr>
        <w:t>Conseguentemente a partire dal corrente anno scolastico la partecipazione alle prove INVALSI e ai percorsi per le competenze trasversali e l’orientamento diventa obbligatoria per l’accesso all’esame di stato al termine del secondo ciclo di istruzione.</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Nella </w:t>
      </w:r>
      <w:r w:rsidRPr="002628DC">
        <w:rPr>
          <w:rFonts w:ascii="Arial" w:eastAsia="Times New Roman" w:hAnsi="Arial" w:cs="Arial"/>
          <w:b/>
          <w:bCs/>
          <w:color w:val="000000"/>
          <w:sz w:val="23"/>
          <w:szCs w:val="23"/>
          <w:lang w:eastAsia="it-IT"/>
        </w:rPr>
        <w:t>provincia di Bolzano le prove INVALSI</w:t>
      </w:r>
      <w:r w:rsidRPr="002628DC">
        <w:rPr>
          <w:rFonts w:ascii="Arial" w:eastAsia="Times New Roman" w:hAnsi="Arial" w:cs="Arial"/>
          <w:color w:val="000000"/>
          <w:sz w:val="23"/>
          <w:szCs w:val="23"/>
          <w:lang w:eastAsia="it-IT"/>
        </w:rPr>
        <w:t> relative al “tedesco” diventeranno requisito indispensabile per l’accesso agli esami di Stato al termine del secondo ciclo, a partire dall’a.s. 2022/23.</w:t>
      </w:r>
    </w:p>
    <w:p w:rsidR="002628DC" w:rsidRPr="002628DC" w:rsidRDefault="002628DC" w:rsidP="002628DC">
      <w:pPr>
        <w:numPr>
          <w:ilvl w:val="0"/>
          <w:numId w:val="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w:t>
      </w:r>
      <w:r w:rsidRPr="002628DC">
        <w:rPr>
          <w:rFonts w:ascii="Arial" w:eastAsia="Times New Roman" w:hAnsi="Arial" w:cs="Arial"/>
          <w:b/>
          <w:bCs/>
          <w:color w:val="000000"/>
          <w:sz w:val="23"/>
          <w:szCs w:val="23"/>
          <w:lang w:eastAsia="it-IT"/>
        </w:rPr>
        <w:t>organico del personale docente </w:t>
      </w:r>
      <w:r w:rsidRPr="002628DC">
        <w:rPr>
          <w:rFonts w:ascii="Arial" w:eastAsia="Times New Roman" w:hAnsi="Arial" w:cs="Arial"/>
          <w:color w:val="000000"/>
          <w:sz w:val="23"/>
          <w:szCs w:val="23"/>
          <w:lang w:eastAsia="it-IT"/>
        </w:rPr>
        <w:t>di cui all'articolo 1, comma 64, della legge 13 luglio 2015, n.</w:t>
      </w:r>
      <w:r w:rsidRPr="002628DC">
        <w:rPr>
          <w:rFonts w:ascii="Arial" w:eastAsia="Times New Roman" w:hAnsi="Arial" w:cs="Arial"/>
          <w:color w:val="000000"/>
          <w:sz w:val="23"/>
          <w:szCs w:val="23"/>
          <w:lang w:eastAsia="it-IT"/>
        </w:rPr>
        <w:t> </w:t>
      </w:r>
      <w:r w:rsidRPr="002628DC">
        <w:rPr>
          <w:rFonts w:ascii="Arial" w:eastAsia="Times New Roman" w:hAnsi="Arial" w:cs="Arial"/>
          <w:color w:val="000000"/>
          <w:sz w:val="23"/>
          <w:szCs w:val="23"/>
          <w:lang w:eastAsia="it-IT"/>
        </w:rPr>
        <w:t>107, è </w:t>
      </w:r>
      <w:r w:rsidRPr="002628DC">
        <w:rPr>
          <w:rFonts w:ascii="Arial" w:eastAsia="Times New Roman" w:hAnsi="Arial" w:cs="Arial"/>
          <w:b/>
          <w:bCs/>
          <w:color w:val="000000"/>
          <w:sz w:val="23"/>
          <w:szCs w:val="23"/>
          <w:lang w:eastAsia="it-IT"/>
        </w:rPr>
        <w:t>incrementato</w:t>
      </w:r>
      <w:r w:rsidRPr="002628DC">
        <w:rPr>
          <w:rFonts w:ascii="Arial" w:eastAsia="Times New Roman" w:hAnsi="Arial" w:cs="Arial"/>
          <w:color w:val="000000"/>
          <w:sz w:val="23"/>
          <w:szCs w:val="23"/>
          <w:lang w:eastAsia="it-IT"/>
        </w:rPr>
        <w:t>, con riferimento alla scuola secondaria di secondo grado, in misura corrispondente a una maggiore spesa di personale pari a 6,387 milioni di euro per l'anno 2020, a 25,499 milioni di euro per l'anno 2021 e a 23,915 milioni di euro annui a decorrere dall'anno 2022. Tale incremento è finalizzato a migliorare la qualificazione dei servizi scolastici, a ridurre il sovraffollamento nelle classi e a favorire l'inclusione degli alunni e delle alunne con disabilità grave. I </w:t>
      </w:r>
      <w:r w:rsidRPr="002628DC">
        <w:rPr>
          <w:rFonts w:ascii="Arial" w:eastAsia="Times New Roman" w:hAnsi="Arial" w:cs="Arial"/>
          <w:b/>
          <w:bCs/>
          <w:color w:val="000000"/>
          <w:sz w:val="23"/>
          <w:szCs w:val="23"/>
          <w:lang w:eastAsia="it-IT"/>
        </w:rPr>
        <w:t>posti saranno ripartiti tra le regioni</w:t>
      </w:r>
      <w:r w:rsidRPr="002628DC">
        <w:rPr>
          <w:rFonts w:ascii="Arial" w:eastAsia="Times New Roman" w:hAnsi="Arial" w:cs="Arial"/>
          <w:color w:val="000000"/>
          <w:sz w:val="23"/>
          <w:szCs w:val="23"/>
          <w:lang w:eastAsia="it-IT"/>
        </w:rPr>
        <w:t> sulla base dei seguenti </w:t>
      </w:r>
      <w:r w:rsidRPr="002628DC">
        <w:rPr>
          <w:rFonts w:ascii="Arial" w:eastAsia="Times New Roman" w:hAnsi="Arial" w:cs="Arial"/>
          <w:b/>
          <w:bCs/>
          <w:color w:val="000000"/>
          <w:sz w:val="23"/>
          <w:szCs w:val="23"/>
          <w:lang w:eastAsia="it-IT"/>
        </w:rPr>
        <w:t>parametri:</w:t>
      </w:r>
    </w:p>
    <w:p w:rsidR="002628DC" w:rsidRPr="002628DC" w:rsidRDefault="002628DC" w:rsidP="002628DC">
      <w:pPr>
        <w:numPr>
          <w:ilvl w:val="1"/>
          <w:numId w:val="1"/>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ripartizione delle risorse tra le regioni tenuto conto del numero di classi con un numero di iscritti superiore a 22 unità, ridotte a 20 unità in presenza di un alunno o studente con disabilità grave certificata;</w:t>
      </w:r>
    </w:p>
    <w:p w:rsidR="002628DC" w:rsidRPr="002628DC" w:rsidRDefault="002628DC" w:rsidP="002628DC">
      <w:pPr>
        <w:numPr>
          <w:ilvl w:val="1"/>
          <w:numId w:val="1"/>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lastRenderedPageBreak/>
        <w:t>monitoraggio comparativo dei risultati conseguiti, con riguardo agli apprendimenti, all'inclusione e alla permanenza scolastica.</w:t>
      </w:r>
    </w:p>
    <w:p w:rsidR="002628DC" w:rsidRPr="002628DC" w:rsidRDefault="002628DC" w:rsidP="002628DC">
      <w:pPr>
        <w:shd w:val="clear" w:color="auto" w:fill="FFFFFF"/>
        <w:spacing w:after="225"/>
        <w:ind w:left="102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Le risorse derivano dal «Fondo “La Buona Scuola” per il miglioramento e la valorizzazione dell'istruzione scolastica» (comma 202 della Legge 107/15) e da quota parte delle risorse del Fondo di funzionamento delle istituzioni scolastiche.</w:t>
      </w:r>
    </w:p>
    <w:p w:rsidR="002628DC" w:rsidRPr="002628DC" w:rsidRDefault="002628DC" w:rsidP="002628DC">
      <w:pPr>
        <w:numPr>
          <w:ilvl w:val="0"/>
          <w:numId w:val="2"/>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 decorrere dall’anno scolastico 2020/21 il Ministero dell’Istruzione </w:t>
      </w:r>
      <w:r w:rsidRPr="002628DC">
        <w:rPr>
          <w:rFonts w:ascii="Arial" w:eastAsia="Times New Roman" w:hAnsi="Arial" w:cs="Arial"/>
          <w:b/>
          <w:bCs/>
          <w:color w:val="000000"/>
          <w:sz w:val="23"/>
          <w:szCs w:val="23"/>
          <w:lang w:eastAsia="it-IT"/>
        </w:rPr>
        <w:t>è autorizzato a trasformare a tempo pieno i rapporti di lavoro di 553 lavoratori, tra assistenti amministrativi e assistenti tecnici, ex cococo</w:t>
      </w:r>
      <w:r w:rsidRPr="002628DC">
        <w:rPr>
          <w:rFonts w:ascii="Arial" w:eastAsia="Times New Roman" w:hAnsi="Arial" w:cs="Arial"/>
          <w:color w:val="000000"/>
          <w:sz w:val="23"/>
          <w:szCs w:val="23"/>
          <w:lang w:eastAsia="it-IT"/>
        </w:rPr>
        <w:t> assunti a tempo parziale nell’anno scolastico 2018/19. Conseguentemente </w:t>
      </w:r>
      <w:r w:rsidRPr="002628DC">
        <w:rPr>
          <w:rFonts w:ascii="Arial" w:eastAsia="Times New Roman" w:hAnsi="Arial" w:cs="Arial"/>
          <w:b/>
          <w:bCs/>
          <w:color w:val="000000"/>
          <w:sz w:val="23"/>
          <w:szCs w:val="23"/>
          <w:lang w:eastAsia="it-IT"/>
        </w:rPr>
        <w:t>è incrementata la dotazione organica</w:t>
      </w:r>
      <w:r w:rsidRPr="002628DC">
        <w:rPr>
          <w:rFonts w:ascii="Arial" w:eastAsia="Times New Roman" w:hAnsi="Arial" w:cs="Arial"/>
          <w:color w:val="000000"/>
          <w:sz w:val="23"/>
          <w:szCs w:val="23"/>
          <w:lang w:eastAsia="it-IT"/>
        </w:rPr>
        <w:t> del personale assistente amministrativo e tecnico.</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Edilizia scolastica</w:t>
      </w:r>
    </w:p>
    <w:p w:rsidR="002628DC" w:rsidRPr="002628DC" w:rsidRDefault="002628DC" w:rsidP="002628DC">
      <w:pPr>
        <w:numPr>
          <w:ilvl w:val="0"/>
          <w:numId w:val="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6 comma 4 proroga al </w:t>
      </w:r>
      <w:r w:rsidRPr="002628DC">
        <w:rPr>
          <w:rFonts w:ascii="Arial" w:eastAsia="Times New Roman" w:hAnsi="Arial" w:cs="Arial"/>
          <w:b/>
          <w:bCs/>
          <w:color w:val="000000"/>
          <w:sz w:val="23"/>
          <w:szCs w:val="23"/>
          <w:lang w:eastAsia="it-IT"/>
        </w:rPr>
        <w:t>31 dicembre 2020</w:t>
      </w:r>
      <w:r w:rsidRPr="002628DC">
        <w:rPr>
          <w:rFonts w:ascii="Arial" w:eastAsia="Times New Roman" w:hAnsi="Arial" w:cs="Arial"/>
          <w:color w:val="000000"/>
          <w:sz w:val="23"/>
          <w:szCs w:val="23"/>
          <w:lang w:eastAsia="it-IT"/>
        </w:rPr>
        <w:t> il termine per i </w:t>
      </w:r>
      <w:r w:rsidRPr="002628DC">
        <w:rPr>
          <w:rFonts w:ascii="Arial" w:eastAsia="Times New Roman" w:hAnsi="Arial" w:cs="Arial"/>
          <w:b/>
          <w:bCs/>
          <w:color w:val="000000"/>
          <w:sz w:val="23"/>
          <w:szCs w:val="23"/>
          <w:lang w:eastAsia="it-IT"/>
        </w:rPr>
        <w:t>pagamenti da parte degli enti locali</w:t>
      </w:r>
      <w:r w:rsidRPr="002628DC">
        <w:rPr>
          <w:rFonts w:ascii="Arial" w:eastAsia="Times New Roman" w:hAnsi="Arial" w:cs="Arial"/>
          <w:color w:val="000000"/>
          <w:sz w:val="23"/>
          <w:szCs w:val="23"/>
          <w:lang w:eastAsia="it-IT"/>
        </w:rPr>
        <w:t> degli interventi di messa in sicurezza, manutenzione e ristrutturazione di edifici scolastici, </w:t>
      </w:r>
      <w:r w:rsidRPr="002628DC">
        <w:rPr>
          <w:rFonts w:ascii="Arial" w:eastAsia="Times New Roman" w:hAnsi="Arial" w:cs="Arial"/>
          <w:b/>
          <w:bCs/>
          <w:color w:val="000000"/>
          <w:sz w:val="23"/>
          <w:szCs w:val="23"/>
          <w:lang w:eastAsia="it-IT"/>
        </w:rPr>
        <w:t>#scuolesicure</w:t>
      </w:r>
      <w:r w:rsidRPr="002628DC">
        <w:rPr>
          <w:rFonts w:ascii="Arial" w:eastAsia="Times New Roman" w:hAnsi="Arial" w:cs="Arial"/>
          <w:color w:val="000000"/>
          <w:sz w:val="23"/>
          <w:szCs w:val="23"/>
          <w:lang w:eastAsia="it-IT"/>
        </w:rPr>
        <w:t>, previsti dal Decreto del “Fare” (Decreto Legge 69/13).</w:t>
      </w:r>
    </w:p>
    <w:p w:rsidR="002628DC" w:rsidRPr="002628DC" w:rsidRDefault="002628DC" w:rsidP="002628DC">
      <w:pPr>
        <w:numPr>
          <w:ilvl w:val="0"/>
          <w:numId w:val="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l'anno 2020, i termini fissati dalla </w:t>
      </w:r>
      <w:hyperlink r:id="rId10" w:tgtFrame="_blank" w:history="1">
        <w:r w:rsidRPr="002628DC">
          <w:rPr>
            <w:rFonts w:ascii="Arial" w:eastAsia="Times New Roman" w:hAnsi="Arial" w:cs="Arial"/>
            <w:color w:val="005EB3"/>
            <w:sz w:val="23"/>
            <w:szCs w:val="23"/>
            <w:u w:val="single"/>
            <w:lang w:eastAsia="it-IT"/>
          </w:rPr>
          <w:t>legge di bilancio 2020</w:t>
        </w:r>
      </w:hyperlink>
      <w:r w:rsidRPr="002628DC">
        <w:rPr>
          <w:rFonts w:ascii="Arial" w:eastAsia="Times New Roman" w:hAnsi="Arial" w:cs="Arial"/>
          <w:color w:val="000000"/>
          <w:sz w:val="23"/>
          <w:szCs w:val="23"/>
          <w:lang w:eastAsia="it-IT"/>
        </w:rPr>
        <w:t> art. 1 commi 52 e 53</w:t>
      </w:r>
    </w:p>
    <w:p w:rsidR="002628DC" w:rsidRPr="002628DC" w:rsidRDefault="002628DC" w:rsidP="002628DC">
      <w:pPr>
        <w:numPr>
          <w:ilvl w:val="1"/>
          <w:numId w:val="3"/>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la richiesta da parte degli enti locali delle risorse per </w:t>
      </w:r>
      <w:r w:rsidRPr="002628DC">
        <w:rPr>
          <w:rFonts w:ascii="Arial" w:eastAsia="Times New Roman" w:hAnsi="Arial" w:cs="Arial"/>
          <w:b/>
          <w:bCs/>
          <w:color w:val="000000"/>
          <w:sz w:val="23"/>
          <w:szCs w:val="23"/>
          <w:lang w:eastAsia="it-IT"/>
        </w:rPr>
        <w:t>spesa di progettazione definitiva ed esecutiva</w:t>
      </w:r>
      <w:r w:rsidRPr="002628DC">
        <w:rPr>
          <w:rFonts w:ascii="Arial" w:eastAsia="Times New Roman" w:hAnsi="Arial" w:cs="Arial"/>
          <w:color w:val="000000"/>
          <w:sz w:val="23"/>
          <w:szCs w:val="23"/>
          <w:lang w:eastAsia="it-IT"/>
        </w:rPr>
        <w:t>, relativa, tra l’altro, ad interventi di messa in sicurezza ed </w:t>
      </w:r>
      <w:r w:rsidRPr="002628DC">
        <w:rPr>
          <w:rFonts w:ascii="Arial" w:eastAsia="Times New Roman" w:hAnsi="Arial" w:cs="Arial"/>
          <w:b/>
          <w:bCs/>
          <w:color w:val="000000"/>
          <w:sz w:val="23"/>
          <w:szCs w:val="23"/>
          <w:lang w:eastAsia="it-IT"/>
        </w:rPr>
        <w:t>efficientamento energetico delle scuole</w:t>
      </w:r>
    </w:p>
    <w:p w:rsidR="002628DC" w:rsidRPr="002628DC" w:rsidRDefault="002628DC" w:rsidP="002628DC">
      <w:pPr>
        <w:numPr>
          <w:ilvl w:val="1"/>
          <w:numId w:val="3"/>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la determinazione da parte del Ministero degli Interni dell’ammontare del contributo attributo</w:t>
      </w:r>
    </w:p>
    <w:p w:rsidR="002628DC" w:rsidRPr="002628DC" w:rsidRDefault="002628DC" w:rsidP="002628DC">
      <w:pPr>
        <w:shd w:val="clear" w:color="auto" w:fill="FFFFFF"/>
        <w:spacing w:after="225"/>
        <w:ind w:left="102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sono posticipati rispettivamente dal 15 gennaio al 15 maggio e dal 28 febbraio al 30 giugno.</w:t>
      </w:r>
    </w:p>
    <w:p w:rsidR="002628DC" w:rsidRPr="002628DC" w:rsidRDefault="002628DC" w:rsidP="002628DC">
      <w:pPr>
        <w:numPr>
          <w:ilvl w:val="0"/>
          <w:numId w:val="4"/>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È posticipato al 31 dicembre 2021 il termine entro il quale gli </w:t>
      </w:r>
      <w:r w:rsidRPr="002628DC">
        <w:rPr>
          <w:rFonts w:ascii="Arial" w:eastAsia="Times New Roman" w:hAnsi="Arial" w:cs="Arial"/>
          <w:b/>
          <w:bCs/>
          <w:color w:val="000000"/>
          <w:sz w:val="23"/>
          <w:szCs w:val="23"/>
          <w:lang w:eastAsia="it-IT"/>
        </w:rPr>
        <w:t>immobili adibiti ad uso scolastico</w:t>
      </w:r>
      <w:r w:rsidRPr="002628DC">
        <w:rPr>
          <w:rFonts w:ascii="Arial" w:eastAsia="Times New Roman" w:hAnsi="Arial" w:cs="Arial"/>
          <w:color w:val="000000"/>
          <w:sz w:val="23"/>
          <w:szCs w:val="23"/>
          <w:lang w:eastAsia="it-IT"/>
        </w:rPr>
        <w:t> collocati nelle zone a rischio sismico (con priorità per quelli situati nei comuni colpiti dagli eventi sismici del 2016 e 2017) devono essere sottoposti a </w:t>
      </w:r>
      <w:r w:rsidRPr="002628DC">
        <w:rPr>
          <w:rFonts w:ascii="Arial" w:eastAsia="Times New Roman" w:hAnsi="Arial" w:cs="Arial"/>
          <w:b/>
          <w:bCs/>
          <w:color w:val="000000"/>
          <w:sz w:val="23"/>
          <w:szCs w:val="23"/>
          <w:lang w:eastAsia="it-IT"/>
        </w:rPr>
        <w:t>verifica di vulnerabilità sismica.</w:t>
      </w:r>
    </w:p>
    <w:p w:rsidR="002628DC" w:rsidRPr="002628DC" w:rsidRDefault="002628DC" w:rsidP="002628DC">
      <w:pPr>
        <w:numPr>
          <w:ilvl w:val="0"/>
          <w:numId w:val="4"/>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È differito al 30 giugno 2020 il termine assegnato ai Comuni per l’inizio dei lavori per la realizzazione di progetti relativi a investimenti nel campo dell'</w:t>
      </w:r>
      <w:r w:rsidRPr="002628DC">
        <w:rPr>
          <w:rFonts w:ascii="Arial" w:eastAsia="Times New Roman" w:hAnsi="Arial" w:cs="Arial"/>
          <w:b/>
          <w:bCs/>
          <w:color w:val="000000"/>
          <w:sz w:val="23"/>
          <w:szCs w:val="23"/>
          <w:lang w:eastAsia="it-IT"/>
        </w:rPr>
        <w:t>efficientamento energetico</w:t>
      </w:r>
      <w:r w:rsidRPr="002628DC">
        <w:rPr>
          <w:rFonts w:ascii="Arial" w:eastAsia="Times New Roman" w:hAnsi="Arial" w:cs="Arial"/>
          <w:color w:val="000000"/>
          <w:sz w:val="23"/>
          <w:szCs w:val="23"/>
          <w:lang w:eastAsia="it-IT"/>
        </w:rPr>
        <w:t> e dello </w:t>
      </w:r>
      <w:r w:rsidRPr="002628DC">
        <w:rPr>
          <w:rFonts w:ascii="Arial" w:eastAsia="Times New Roman" w:hAnsi="Arial" w:cs="Arial"/>
          <w:b/>
          <w:bCs/>
          <w:color w:val="000000"/>
          <w:sz w:val="23"/>
          <w:szCs w:val="23"/>
          <w:lang w:eastAsia="it-IT"/>
        </w:rPr>
        <w:t>sviluppo territoriale sostenibile</w:t>
      </w:r>
      <w:r w:rsidRPr="002628DC">
        <w:rPr>
          <w:rFonts w:ascii="Arial" w:eastAsia="Times New Roman" w:hAnsi="Arial" w:cs="Arial"/>
          <w:color w:val="000000"/>
          <w:sz w:val="23"/>
          <w:szCs w:val="23"/>
          <w:lang w:eastAsia="it-IT"/>
        </w:rPr>
        <w:t> finanzianti con le risorse del Fondo Sviluppo e Coesione (FSC) e previsti dall’art. 30 del decreto Legge 34/19</w:t>
      </w:r>
      <w:r w:rsidRPr="002628DC">
        <w:rPr>
          <w:rFonts w:ascii="Arial" w:eastAsia="Times New Roman" w:hAnsi="Arial" w:cs="Arial"/>
          <w:i/>
          <w:iCs/>
          <w:color w:val="000000"/>
          <w:sz w:val="23"/>
          <w:szCs w:val="23"/>
          <w:lang w:eastAsia="it-IT"/>
        </w:rPr>
        <w:t>.</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Dirigenti scolastici</w:t>
      </w:r>
    </w:p>
    <w:p w:rsidR="002628DC" w:rsidRPr="002628DC" w:rsidRDefault="002628DC" w:rsidP="002628DC">
      <w:pPr>
        <w:numPr>
          <w:ilvl w:val="0"/>
          <w:numId w:val="5"/>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Dopo la nomina dei vincitori del concorso per dirigente scolastico bandito nel 2017, </w:t>
      </w:r>
      <w:r w:rsidRPr="002628DC">
        <w:rPr>
          <w:rFonts w:ascii="Arial" w:eastAsia="Times New Roman" w:hAnsi="Arial" w:cs="Arial"/>
          <w:b/>
          <w:bCs/>
          <w:color w:val="000000"/>
          <w:sz w:val="23"/>
          <w:szCs w:val="23"/>
          <w:lang w:eastAsia="it-IT"/>
        </w:rPr>
        <w:t>gli idonei utilmente inclusi nella graduatoria nazionale sono assunti</w:t>
      </w:r>
      <w:r w:rsidRPr="002628DC">
        <w:rPr>
          <w:rFonts w:ascii="Arial" w:eastAsia="Times New Roman" w:hAnsi="Arial" w:cs="Arial"/>
          <w:color w:val="000000"/>
          <w:sz w:val="23"/>
          <w:szCs w:val="23"/>
          <w:lang w:eastAsia="it-IT"/>
        </w:rPr>
        <w:t> nel limite dei posti annualmente vacanti e disponibili, fatta salva la vigente disciplina autorizzatoria.</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Università</w:t>
      </w:r>
    </w:p>
    <w:p w:rsidR="002628DC" w:rsidRPr="002628DC" w:rsidRDefault="002628DC" w:rsidP="002628DC">
      <w:pPr>
        <w:numPr>
          <w:ilvl w:val="0"/>
          <w:numId w:val="6"/>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6 comma 3 proroga al </w:t>
      </w:r>
      <w:r w:rsidRPr="002628DC">
        <w:rPr>
          <w:rFonts w:ascii="Arial" w:eastAsia="Times New Roman" w:hAnsi="Arial" w:cs="Arial"/>
          <w:b/>
          <w:bCs/>
          <w:color w:val="000000"/>
          <w:sz w:val="23"/>
          <w:szCs w:val="23"/>
          <w:lang w:eastAsia="it-IT"/>
        </w:rPr>
        <w:t>30 giugno 2020</w:t>
      </w:r>
      <w:r w:rsidRPr="002628DC">
        <w:rPr>
          <w:rFonts w:ascii="Arial" w:eastAsia="Times New Roman" w:hAnsi="Arial" w:cs="Arial"/>
          <w:color w:val="000000"/>
          <w:sz w:val="23"/>
          <w:szCs w:val="23"/>
          <w:lang w:eastAsia="it-IT"/>
        </w:rPr>
        <w:t> il termine per la stipula a livello di singolo ateneo del </w:t>
      </w:r>
      <w:r w:rsidRPr="002628DC">
        <w:rPr>
          <w:rFonts w:ascii="Arial" w:eastAsia="Times New Roman" w:hAnsi="Arial" w:cs="Arial"/>
          <w:b/>
          <w:bCs/>
          <w:color w:val="000000"/>
          <w:sz w:val="23"/>
          <w:szCs w:val="23"/>
          <w:lang w:eastAsia="it-IT"/>
        </w:rPr>
        <w:t>contratto integrativo</w:t>
      </w:r>
      <w:r w:rsidRPr="002628DC">
        <w:rPr>
          <w:rFonts w:ascii="Arial" w:eastAsia="Times New Roman" w:hAnsi="Arial" w:cs="Arial"/>
          <w:color w:val="000000"/>
          <w:sz w:val="23"/>
          <w:szCs w:val="23"/>
          <w:lang w:eastAsia="it-IT"/>
        </w:rPr>
        <w:t> per l’utilizzo, a titolo di cofinanziamento, delle risorse pari a € 8.705.000,00 a decorrere dal 2019, finalizzato al </w:t>
      </w:r>
      <w:r w:rsidRPr="002628DC">
        <w:rPr>
          <w:rFonts w:ascii="Arial" w:eastAsia="Times New Roman" w:hAnsi="Arial" w:cs="Arial"/>
          <w:b/>
          <w:bCs/>
          <w:color w:val="000000"/>
          <w:sz w:val="23"/>
          <w:szCs w:val="23"/>
          <w:lang w:eastAsia="it-IT"/>
        </w:rPr>
        <w:t>superamento del contenzioso</w:t>
      </w:r>
      <w:r w:rsidRPr="002628DC">
        <w:rPr>
          <w:rFonts w:ascii="Arial" w:eastAsia="Times New Roman" w:hAnsi="Arial" w:cs="Arial"/>
          <w:color w:val="000000"/>
          <w:sz w:val="23"/>
          <w:szCs w:val="23"/>
          <w:lang w:eastAsia="it-IT"/>
        </w:rPr>
        <w:t> in atto e a prevenire l'instaurazione di nuovo contenzioso nei confronti delle università statali italiane da parte degli ex </w:t>
      </w:r>
      <w:r w:rsidRPr="002628DC">
        <w:rPr>
          <w:rFonts w:ascii="Arial" w:eastAsia="Times New Roman" w:hAnsi="Arial" w:cs="Arial"/>
          <w:b/>
          <w:bCs/>
          <w:color w:val="000000"/>
          <w:sz w:val="23"/>
          <w:szCs w:val="23"/>
          <w:lang w:eastAsia="it-IT"/>
        </w:rPr>
        <w:t>lettori di lingua straniera.</w:t>
      </w:r>
    </w:p>
    <w:p w:rsidR="002628DC" w:rsidRPr="002628DC" w:rsidRDefault="002628DC" w:rsidP="002628DC">
      <w:pPr>
        <w:numPr>
          <w:ilvl w:val="0"/>
          <w:numId w:val="6"/>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Le misure di </w:t>
      </w:r>
      <w:r w:rsidRPr="002628DC">
        <w:rPr>
          <w:rFonts w:ascii="Arial" w:eastAsia="Times New Roman" w:hAnsi="Arial" w:cs="Arial"/>
          <w:b/>
          <w:bCs/>
          <w:color w:val="000000"/>
          <w:sz w:val="23"/>
          <w:szCs w:val="23"/>
          <w:lang w:eastAsia="it-IT"/>
        </w:rPr>
        <w:t>sostegno per l'accesso dei giovani alla ricerca</w:t>
      </w:r>
      <w:r w:rsidRPr="002628DC">
        <w:rPr>
          <w:rFonts w:ascii="Arial" w:eastAsia="Times New Roman" w:hAnsi="Arial" w:cs="Arial"/>
          <w:color w:val="000000"/>
          <w:sz w:val="23"/>
          <w:szCs w:val="23"/>
          <w:lang w:eastAsia="it-IT"/>
        </w:rPr>
        <w:t xml:space="preserve"> e per la competitività del sistema universitario italiano a livello internazionale sono prorogate per l'anno 2021 </w:t>
      </w:r>
      <w:r w:rsidRPr="002628DC">
        <w:rPr>
          <w:rFonts w:ascii="Arial" w:eastAsia="Times New Roman" w:hAnsi="Arial" w:cs="Arial"/>
          <w:color w:val="000000"/>
          <w:sz w:val="23"/>
          <w:szCs w:val="23"/>
          <w:lang w:eastAsia="it-IT"/>
        </w:rPr>
        <w:lastRenderedPageBreak/>
        <w:t>(articolo 1, comma 401, della </w:t>
      </w:r>
      <w:hyperlink r:id="rId11" w:tgtFrame="_blank" w:history="1">
        <w:r w:rsidRPr="002628DC">
          <w:rPr>
            <w:rFonts w:ascii="Arial" w:eastAsia="Times New Roman" w:hAnsi="Arial" w:cs="Arial"/>
            <w:color w:val="005EB3"/>
            <w:sz w:val="23"/>
            <w:szCs w:val="23"/>
            <w:u w:val="single"/>
            <w:lang w:eastAsia="it-IT"/>
          </w:rPr>
          <w:t>legge 30 dicembre 2018, n.</w:t>
        </w:r>
        <w:r w:rsidRPr="002628DC">
          <w:rPr>
            <w:rFonts w:ascii="Arial" w:eastAsia="Times New Roman" w:hAnsi="Arial" w:cs="Arial"/>
            <w:color w:val="005EB3"/>
            <w:sz w:val="23"/>
            <w:szCs w:val="23"/>
            <w:u w:val="single"/>
            <w:lang w:eastAsia="it-IT"/>
          </w:rPr>
          <w:t> </w:t>
        </w:r>
        <w:r w:rsidRPr="002628DC">
          <w:rPr>
            <w:rFonts w:ascii="Arial" w:eastAsia="Times New Roman" w:hAnsi="Arial" w:cs="Arial"/>
            <w:color w:val="005EB3"/>
            <w:sz w:val="23"/>
            <w:szCs w:val="23"/>
            <w:u w:val="single"/>
            <w:lang w:eastAsia="it-IT"/>
          </w:rPr>
          <w:t>145</w:t>
        </w:r>
      </w:hyperlink>
      <w:r w:rsidRPr="002628DC">
        <w:rPr>
          <w:rFonts w:ascii="Arial" w:eastAsia="Times New Roman" w:hAnsi="Arial" w:cs="Arial"/>
          <w:color w:val="000000"/>
          <w:sz w:val="23"/>
          <w:szCs w:val="23"/>
          <w:lang w:eastAsia="it-IT"/>
        </w:rPr>
        <w:t>). Pertanto, in deroga alle vigenti facoltà assunzionali, sono </w:t>
      </w:r>
      <w:r w:rsidRPr="002628DC">
        <w:rPr>
          <w:rFonts w:ascii="Arial" w:eastAsia="Times New Roman" w:hAnsi="Arial" w:cs="Arial"/>
          <w:b/>
          <w:bCs/>
          <w:color w:val="000000"/>
          <w:sz w:val="23"/>
          <w:szCs w:val="23"/>
          <w:lang w:eastAsia="it-IT"/>
        </w:rPr>
        <w:t>autorizzati</w:t>
      </w:r>
    </w:p>
    <w:p w:rsidR="002628DC" w:rsidRPr="002628DC" w:rsidRDefault="002628DC" w:rsidP="002628DC">
      <w:pPr>
        <w:numPr>
          <w:ilvl w:val="1"/>
          <w:numId w:val="6"/>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b/>
          <w:bCs/>
          <w:color w:val="000000"/>
          <w:sz w:val="23"/>
          <w:szCs w:val="23"/>
          <w:lang w:eastAsia="it-IT"/>
        </w:rPr>
        <w:t>nell'anno 2020, l'assunzione di ricercatori di tipo B</w:t>
      </w:r>
      <w:r w:rsidRPr="002628DC">
        <w:rPr>
          <w:rFonts w:ascii="Arial" w:eastAsia="Times New Roman" w:hAnsi="Arial" w:cs="Arial"/>
          <w:color w:val="000000"/>
          <w:sz w:val="23"/>
          <w:szCs w:val="23"/>
          <w:lang w:eastAsia="it-IT"/>
        </w:rPr>
        <w:t> (articolo 24, comma 3, lettera b), della legge 30 dicembre 2010, n.</w:t>
      </w:r>
      <w:r w:rsidRPr="002628DC">
        <w:rPr>
          <w:rFonts w:ascii="Arial" w:eastAsia="Times New Roman" w:hAnsi="Arial" w:cs="Arial"/>
          <w:color w:val="000000"/>
          <w:sz w:val="23"/>
          <w:szCs w:val="23"/>
          <w:lang w:eastAsia="it-IT"/>
        </w:rPr>
        <w:t> </w:t>
      </w:r>
      <w:r w:rsidRPr="002628DC">
        <w:rPr>
          <w:rFonts w:ascii="Arial" w:eastAsia="Times New Roman" w:hAnsi="Arial" w:cs="Arial"/>
          <w:color w:val="000000"/>
          <w:sz w:val="23"/>
          <w:szCs w:val="23"/>
          <w:lang w:eastAsia="it-IT"/>
        </w:rPr>
        <w:t>240) nel limite di spesa di 96,5 milioni di euro annui a decorrere dall'anno 2021</w:t>
      </w:r>
    </w:p>
    <w:p w:rsidR="002628DC" w:rsidRPr="002628DC" w:rsidRDefault="002628DC" w:rsidP="002628DC">
      <w:pPr>
        <w:numPr>
          <w:ilvl w:val="1"/>
          <w:numId w:val="6"/>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b/>
          <w:bCs/>
          <w:color w:val="000000"/>
          <w:sz w:val="23"/>
          <w:szCs w:val="23"/>
          <w:lang w:eastAsia="it-IT"/>
        </w:rPr>
        <w:t>nell'anno 2022, la progressione di carriera dei ricercatori universitari a tempo indeterminato</w:t>
      </w:r>
      <w:r w:rsidRPr="002628DC">
        <w:rPr>
          <w:rFonts w:ascii="Arial" w:eastAsia="Times New Roman" w:hAnsi="Arial" w:cs="Arial"/>
          <w:color w:val="000000"/>
          <w:sz w:val="23"/>
          <w:szCs w:val="23"/>
          <w:lang w:eastAsia="it-IT"/>
        </w:rPr>
        <w:t> in possesso di abilitazione scientifica nazionale, nel limite di spesa di 15 milioni di euro annui a decorrere dall'anno 2022.</w:t>
      </w:r>
    </w:p>
    <w:p w:rsidR="002628DC" w:rsidRPr="002628DC" w:rsidRDefault="002628DC" w:rsidP="002628DC">
      <w:pPr>
        <w:shd w:val="clear" w:color="auto" w:fill="FFFFFF"/>
        <w:spacing w:after="225"/>
        <w:ind w:left="1008"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Conseguentemente, il Fondo per il finanziamento ordinario delle università, è incrementato di 96,5 milioni di euro per l'anno 2021 e di 111,5 milioni di euro annui a decorrere dall'anno 2022. Le risorse sono prelevate:</w:t>
      </w:r>
    </w:p>
    <w:p w:rsidR="002628DC" w:rsidRPr="002628DC" w:rsidRDefault="002628DC" w:rsidP="002628DC">
      <w:pPr>
        <w:numPr>
          <w:ilvl w:val="0"/>
          <w:numId w:val="7"/>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96,50 milioni di euro annui a decorrere dal 2021 mediante corrispondente riduzione dei finanziamenti per l’Agenzia Nazionale per la Ricerca (ANR) prevista dalla Legge di bilancio 2020</w:t>
      </w:r>
    </w:p>
    <w:p w:rsidR="002628DC" w:rsidRPr="002628DC" w:rsidRDefault="002628DC" w:rsidP="002628DC">
      <w:pPr>
        <w:numPr>
          <w:ilvl w:val="0"/>
          <w:numId w:val="7"/>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15 milioni di euro annui a decorrere dall'anno 2022, mediante corrispondente riduzione del Fondo per far fronte ad esigenze indifferibili.</w:t>
      </w:r>
    </w:p>
    <w:p w:rsidR="002628DC" w:rsidRPr="002628DC" w:rsidRDefault="002628DC" w:rsidP="002628DC">
      <w:pPr>
        <w:numPr>
          <w:ilvl w:val="0"/>
          <w:numId w:val="8"/>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 partire dal </w:t>
      </w:r>
      <w:r w:rsidRPr="002628DC">
        <w:rPr>
          <w:rFonts w:ascii="Arial" w:eastAsia="Times New Roman" w:hAnsi="Arial" w:cs="Arial"/>
          <w:b/>
          <w:bCs/>
          <w:color w:val="000000"/>
          <w:sz w:val="23"/>
          <w:szCs w:val="23"/>
          <w:lang w:eastAsia="it-IT"/>
        </w:rPr>
        <w:t>terzo anno</w:t>
      </w:r>
      <w:r w:rsidRPr="002628DC">
        <w:rPr>
          <w:rFonts w:ascii="Arial" w:eastAsia="Times New Roman" w:hAnsi="Arial" w:cs="Arial"/>
          <w:color w:val="000000"/>
          <w:sz w:val="23"/>
          <w:szCs w:val="23"/>
          <w:lang w:eastAsia="it-IT"/>
        </w:rPr>
        <w:t> del corso di formazione specialistica, i </w:t>
      </w:r>
      <w:r w:rsidRPr="002628DC">
        <w:rPr>
          <w:rFonts w:ascii="Arial" w:eastAsia="Times New Roman" w:hAnsi="Arial" w:cs="Arial"/>
          <w:b/>
          <w:bCs/>
          <w:color w:val="000000"/>
          <w:sz w:val="23"/>
          <w:szCs w:val="23"/>
          <w:lang w:eastAsia="it-IT"/>
        </w:rPr>
        <w:t>medici e i medici veterinari</w:t>
      </w:r>
      <w:r w:rsidRPr="002628DC">
        <w:rPr>
          <w:rFonts w:ascii="Arial" w:eastAsia="Times New Roman" w:hAnsi="Arial" w:cs="Arial"/>
          <w:color w:val="000000"/>
          <w:sz w:val="23"/>
          <w:szCs w:val="23"/>
          <w:lang w:eastAsia="it-IT"/>
        </w:rPr>
        <w:t> regolarmente iscritti sono ammessi alle procedure concorsuali per l'accesso alla dirigenza del ruolo sanitario nella specifica disciplina bandita e collocati, all'esito positivo delle medesime procedure, in graduatoria separata. Le aziende e gli enti del Servizio sanitario nazionale, nei limiti delle proprie disponibilità di bilancio e nei limiti di spesa per il personale previsti dalla disciplina vigente, possono procedere fino al 31 dicembre 2022 all'assunzione con contratto di lavoro subordinato a tempo determinato con orario a tempo parziale in ragione delle esigenze formative, di coloro che sono utilmente collocati in tale graduatoria Inoltre, per </w:t>
      </w:r>
      <w:r w:rsidRPr="002628DC">
        <w:rPr>
          <w:rFonts w:ascii="Arial" w:eastAsia="Times New Roman" w:hAnsi="Arial" w:cs="Arial"/>
          <w:b/>
          <w:bCs/>
          <w:color w:val="000000"/>
          <w:sz w:val="23"/>
          <w:szCs w:val="23"/>
          <w:lang w:eastAsia="it-IT"/>
        </w:rPr>
        <w:t>garantire l'erogazione dei livelli essenziali di assistenza e fronteggiare la carenza di medici specialisti</w:t>
      </w:r>
      <w:r w:rsidRPr="002628DC">
        <w:rPr>
          <w:rFonts w:ascii="Arial" w:eastAsia="Times New Roman" w:hAnsi="Arial" w:cs="Arial"/>
          <w:color w:val="000000"/>
          <w:sz w:val="23"/>
          <w:szCs w:val="23"/>
          <w:lang w:eastAsia="it-IT"/>
        </w:rPr>
        <w:t>, fino al 31 dicembre 2022 i dirigenti medici del Servizio sanitario nazionale possono presentare domanda di autorizzazione per il trattenimento in servizio anche oltre il limite del quarantesimo anno di servizio effettivo e comunque non oltre il settantesimo anno di età.</w:t>
      </w:r>
    </w:p>
    <w:p w:rsidR="002628DC" w:rsidRPr="002628DC" w:rsidRDefault="002628DC" w:rsidP="002628DC">
      <w:pPr>
        <w:numPr>
          <w:ilvl w:val="0"/>
          <w:numId w:val="8"/>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1 comma 2 proroga al </w:t>
      </w:r>
      <w:r w:rsidRPr="002628DC">
        <w:rPr>
          <w:rFonts w:ascii="Arial" w:eastAsia="Times New Roman" w:hAnsi="Arial" w:cs="Arial"/>
          <w:b/>
          <w:bCs/>
          <w:color w:val="000000"/>
          <w:sz w:val="23"/>
          <w:szCs w:val="23"/>
          <w:lang w:eastAsia="it-IT"/>
        </w:rPr>
        <w:t>31 dicembre 2020</w:t>
      </w:r>
      <w:r w:rsidRPr="002628DC">
        <w:rPr>
          <w:rFonts w:ascii="Arial" w:eastAsia="Times New Roman" w:hAnsi="Arial" w:cs="Arial"/>
          <w:color w:val="000000"/>
          <w:sz w:val="23"/>
          <w:szCs w:val="23"/>
          <w:lang w:eastAsia="it-IT"/>
        </w:rPr>
        <w:t> il termine per procedere alle </w:t>
      </w:r>
      <w:r w:rsidRPr="002628DC">
        <w:rPr>
          <w:rFonts w:ascii="Arial" w:eastAsia="Times New Roman" w:hAnsi="Arial" w:cs="Arial"/>
          <w:b/>
          <w:bCs/>
          <w:color w:val="000000"/>
          <w:sz w:val="23"/>
          <w:szCs w:val="23"/>
          <w:lang w:eastAsia="it-IT"/>
        </w:rPr>
        <w:t>assunzioni di personale a tempo indeterminato</w:t>
      </w:r>
      <w:r w:rsidRPr="002628DC">
        <w:rPr>
          <w:rFonts w:ascii="Arial" w:eastAsia="Times New Roman" w:hAnsi="Arial" w:cs="Arial"/>
          <w:color w:val="000000"/>
          <w:sz w:val="23"/>
          <w:szCs w:val="23"/>
          <w:lang w:eastAsia="it-IT"/>
        </w:rPr>
        <w:t> relative alle cessazioni verificatesi negli anni 2009, 2010, 2011 e 2012, in base all'articolo 3, comma 102, della legge 244/07 e all'articolo 66, commi 13 e 13-bis della legge 133/08.</w:t>
      </w:r>
    </w:p>
    <w:p w:rsidR="002628DC" w:rsidRPr="002628DC" w:rsidRDefault="002628DC" w:rsidP="002628DC">
      <w:pPr>
        <w:numPr>
          <w:ilvl w:val="0"/>
          <w:numId w:val="8"/>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6 comma 1 interviene sull’</w:t>
      </w:r>
      <w:r w:rsidRPr="002628DC">
        <w:rPr>
          <w:rFonts w:ascii="Arial" w:eastAsia="Times New Roman" w:hAnsi="Arial" w:cs="Arial"/>
          <w:b/>
          <w:bCs/>
          <w:color w:val="000000"/>
          <w:sz w:val="23"/>
          <w:szCs w:val="23"/>
          <w:lang w:eastAsia="it-IT"/>
        </w:rPr>
        <w:t>erogazione delle somme residue dei mutui</w:t>
      </w:r>
      <w:r w:rsidRPr="002628DC">
        <w:rPr>
          <w:rFonts w:ascii="Arial" w:eastAsia="Times New Roman" w:hAnsi="Arial" w:cs="Arial"/>
          <w:color w:val="000000"/>
          <w:sz w:val="23"/>
          <w:szCs w:val="23"/>
          <w:lang w:eastAsia="it-IT"/>
        </w:rPr>
        <w:t> che sono stati trasferiti al Ministero dell’Economia (MEF), ma concessi dalla Cassa depositi e prestiti S.p.A. per </w:t>
      </w:r>
      <w:r w:rsidRPr="002628DC">
        <w:rPr>
          <w:rFonts w:ascii="Arial" w:eastAsia="Times New Roman" w:hAnsi="Arial" w:cs="Arial"/>
          <w:b/>
          <w:bCs/>
          <w:color w:val="000000"/>
          <w:sz w:val="23"/>
          <w:szCs w:val="23"/>
          <w:lang w:eastAsia="it-IT"/>
        </w:rPr>
        <w:t>edilizia universitaria </w:t>
      </w:r>
      <w:r w:rsidRPr="002628DC">
        <w:rPr>
          <w:rFonts w:ascii="Arial" w:eastAsia="Times New Roman" w:hAnsi="Arial" w:cs="Arial"/>
          <w:color w:val="000000"/>
          <w:sz w:val="23"/>
          <w:szCs w:val="23"/>
          <w:lang w:eastAsia="it-IT"/>
        </w:rPr>
        <w:t>nelle aree depresse (art. 1 comma 1 del Decreto Legge 67/97) e/o finalizzate a interventi di decongestionamento degli atenei (art. 54 comma 1 della Legge 488/99). </w:t>
      </w:r>
      <w:r w:rsidRPr="002628DC">
        <w:rPr>
          <w:rFonts w:ascii="Arial" w:eastAsia="Times New Roman" w:hAnsi="Arial" w:cs="Arial"/>
          <w:b/>
          <w:bCs/>
          <w:color w:val="000000"/>
          <w:sz w:val="23"/>
          <w:szCs w:val="23"/>
          <w:lang w:eastAsia="it-IT"/>
        </w:rPr>
        <w:t>La norma proroga di un ulteriore anno (dal 31 dicembre 2019 al 31 dicembre 2020) il termine per l’erogazione di tali somme</w:t>
      </w:r>
      <w:r w:rsidRPr="002628DC">
        <w:rPr>
          <w:rFonts w:ascii="Arial" w:eastAsia="Times New Roman" w:hAnsi="Arial" w:cs="Arial"/>
          <w:color w:val="000000"/>
          <w:sz w:val="23"/>
          <w:szCs w:val="23"/>
          <w:lang w:eastAsia="it-IT"/>
        </w:rPr>
        <w:t> da parte della Cassa depositi e prestiti S.p.A. su domanda dei soggetti mutuatari, previo nulla osta del Ministero dell'istruzione, dell'università e della ricerca. </w:t>
      </w:r>
      <w:r w:rsidRPr="002628DC">
        <w:rPr>
          <w:rFonts w:ascii="Arial" w:eastAsia="Times New Roman" w:hAnsi="Arial" w:cs="Arial"/>
          <w:b/>
          <w:bCs/>
          <w:color w:val="000000"/>
          <w:sz w:val="23"/>
          <w:szCs w:val="23"/>
          <w:lang w:eastAsia="it-IT"/>
        </w:rPr>
        <w:t>Le Università interessate sono: Cassino, Napoli Federico II e Napoli Parthenope.</w:t>
      </w:r>
    </w:p>
    <w:p w:rsidR="002628DC" w:rsidRPr="002628DC" w:rsidRDefault="002628DC" w:rsidP="002628DC">
      <w:pPr>
        <w:numPr>
          <w:ilvl w:val="0"/>
          <w:numId w:val="8"/>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 xml:space="preserve">Per il decennio dal 2020 al 2029 è autorizzata l’ulteriore spesa di 8 milioni di euro annui, valere sulle risorse per il finanziamento del fabbisogno sanitario nazionale standard cui concorre lo Stato, per il finanziamento degli oneri connessi all’uso a titolo gratuito da parte delle aziende ospedaliero-universitarie, dei beni demaniali o comunque in uso gratuito e perpetuo alle Università già destinati in modo prevalente all'attività assistenziale. L'erogazione dei finanziamenti è subordinata alla costituzione dell'azienda con legge </w:t>
      </w:r>
      <w:r w:rsidRPr="002628DC">
        <w:rPr>
          <w:rFonts w:ascii="Arial" w:eastAsia="Times New Roman" w:hAnsi="Arial" w:cs="Arial"/>
          <w:color w:val="000000"/>
          <w:sz w:val="23"/>
          <w:szCs w:val="23"/>
          <w:lang w:eastAsia="it-IT"/>
        </w:rPr>
        <w:lastRenderedPageBreak/>
        <w:t>regionale e alla sottoscrizione del protocollo d'intesa tra Università e Azienda ospedaliera. La ripartizione dei finanziamenti è disposta mediante decreto MEF, di concerto con il Ministro della salute e con il Ministero dell'università e ricerca</w:t>
      </w:r>
    </w:p>
    <w:p w:rsidR="002628DC" w:rsidRPr="002628DC" w:rsidRDefault="002628DC" w:rsidP="002628DC">
      <w:pPr>
        <w:numPr>
          <w:ilvl w:val="0"/>
          <w:numId w:val="8"/>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Prevista l’attribuzione ai policlinici universitari non costituiti in azienda, nell’ambito delle attività istituzionali esercitate non in regime d’impresa, di un contributo, nella forma di credito d’imposta, per gli anni dal 2020 al 2023, finalizzato a promuovere le attività di ricerca scientifica e a favorire la stabilizzazione di figure professionali nell’ambito clinico e della ricerca, attraverso l’instaurazione di rapporti di lavoro a tempo indeterminato presso le strutture sanitarie che svolgono attività di ricerca e didattiche. Il contributo, pari a 5 milioni di euro per il 2020 e di 10 milioni di euro per ciascuno degli anni dal 2021 al 2023, è subordinato alla condizione che tali enti si avvalgano di personale assunto a tempo indeterminato in misura non inferiore all’85 per cento del personale in servizio.</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Alta Formazione Artistica e Musicale (AFAM)</w:t>
      </w:r>
    </w:p>
    <w:p w:rsidR="002628DC" w:rsidRPr="002628DC" w:rsidRDefault="002628DC" w:rsidP="002628DC">
      <w:pPr>
        <w:numPr>
          <w:ilvl w:val="0"/>
          <w:numId w:val="9"/>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6 comma 2 proroga di </w:t>
      </w:r>
      <w:r w:rsidRPr="002628DC">
        <w:rPr>
          <w:rFonts w:ascii="Arial" w:eastAsia="Times New Roman" w:hAnsi="Arial" w:cs="Arial"/>
          <w:b/>
          <w:bCs/>
          <w:color w:val="000000"/>
          <w:sz w:val="23"/>
          <w:szCs w:val="23"/>
          <w:lang w:eastAsia="it-IT"/>
        </w:rPr>
        <w:t>ulteriori due anni accademici e fino al 2020/21</w:t>
      </w:r>
      <w:r w:rsidRPr="002628DC">
        <w:rPr>
          <w:rFonts w:ascii="Arial" w:eastAsia="Times New Roman" w:hAnsi="Arial" w:cs="Arial"/>
          <w:color w:val="000000"/>
          <w:sz w:val="23"/>
          <w:szCs w:val="23"/>
          <w:lang w:eastAsia="it-IT"/>
        </w:rPr>
        <w:t> il termine per l’utilizzo per l’attribuzione di contratti a tempo indeterminato e determinato, delle </w:t>
      </w:r>
      <w:r w:rsidRPr="002628DC">
        <w:rPr>
          <w:rFonts w:ascii="Arial" w:eastAsia="Times New Roman" w:hAnsi="Arial" w:cs="Arial"/>
          <w:b/>
          <w:bCs/>
          <w:color w:val="000000"/>
          <w:sz w:val="23"/>
          <w:szCs w:val="23"/>
          <w:lang w:eastAsia="it-IT"/>
        </w:rPr>
        <w:t>graduatorie nazionali ad esaurimento dei docenti precari dell’AFAM ex legge 143/04.</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Validità graduatorie settori scuola e Afam</w:t>
      </w:r>
    </w:p>
    <w:p w:rsidR="002628DC" w:rsidRPr="002628DC" w:rsidRDefault="002628DC" w:rsidP="002628DC">
      <w:pPr>
        <w:numPr>
          <w:ilvl w:val="0"/>
          <w:numId w:val="10"/>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Il </w:t>
      </w:r>
      <w:r w:rsidRPr="002628DC">
        <w:rPr>
          <w:rFonts w:ascii="Arial" w:eastAsia="Times New Roman" w:hAnsi="Arial" w:cs="Arial"/>
          <w:b/>
          <w:bCs/>
          <w:color w:val="000000"/>
          <w:sz w:val="23"/>
          <w:szCs w:val="23"/>
          <w:lang w:eastAsia="it-IT"/>
        </w:rPr>
        <w:t>periodo di validità delle graduatorie dei concorsi pubblici</w:t>
      </w:r>
      <w:r w:rsidRPr="002628DC">
        <w:rPr>
          <w:rFonts w:ascii="Arial" w:eastAsia="Times New Roman" w:hAnsi="Arial" w:cs="Arial"/>
          <w:color w:val="000000"/>
          <w:sz w:val="23"/>
          <w:szCs w:val="23"/>
          <w:lang w:eastAsia="it-IT"/>
        </w:rPr>
        <w:t> previsto dalla legge di bilancio 2020 (art. 1 comma 147) non si applica alle assunzioni del personale scolastico, compresi i dirigenti, e del personale delle istituzioni di alta formazione artistica, musicale e coreutica nonché del personale delle scuole e degli asili comunali. La disposizione elimina una evidente contraddizione normativa tra quanto previsto dalle norme di carattere generale valide per tutte le pubbliche amministrazioni, e quelle relative a specifici settori quali scuola, afam e personale scolastico e degli asili gestiti dagli enti locali.</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Pubblica amministrazione: precariato, progressioni, mobilità</w:t>
      </w:r>
    </w:p>
    <w:p w:rsidR="002628DC" w:rsidRPr="002628DC" w:rsidRDefault="002628DC" w:rsidP="002628DC">
      <w:pPr>
        <w:numPr>
          <w:ilvl w:val="0"/>
          <w:numId w:val="1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1 comma 1 proroga al </w:t>
      </w:r>
      <w:r w:rsidRPr="002628DC">
        <w:rPr>
          <w:rFonts w:ascii="Arial" w:eastAsia="Times New Roman" w:hAnsi="Arial" w:cs="Arial"/>
          <w:b/>
          <w:bCs/>
          <w:color w:val="000000"/>
          <w:sz w:val="23"/>
          <w:szCs w:val="23"/>
          <w:lang w:eastAsia="it-IT"/>
        </w:rPr>
        <w:t>31 dicembre 2021</w:t>
      </w:r>
      <w:r w:rsidRPr="002628DC">
        <w:rPr>
          <w:rFonts w:ascii="Arial" w:eastAsia="Times New Roman" w:hAnsi="Arial" w:cs="Arial"/>
          <w:color w:val="000000"/>
          <w:sz w:val="23"/>
          <w:szCs w:val="23"/>
          <w:lang w:eastAsia="it-IT"/>
        </w:rPr>
        <w:t> la scadenza per le amministrazioni pubbliche per </w:t>
      </w:r>
      <w:r w:rsidRPr="002628DC">
        <w:rPr>
          <w:rFonts w:ascii="Arial" w:eastAsia="Times New Roman" w:hAnsi="Arial" w:cs="Arial"/>
          <w:b/>
          <w:bCs/>
          <w:color w:val="000000"/>
          <w:sz w:val="23"/>
          <w:szCs w:val="23"/>
          <w:lang w:eastAsia="it-IT"/>
        </w:rPr>
        <w:t>assumere a tempo indeterminato</w:t>
      </w:r>
      <w:r w:rsidRPr="002628DC">
        <w:rPr>
          <w:rFonts w:ascii="Arial" w:eastAsia="Times New Roman" w:hAnsi="Arial" w:cs="Arial"/>
          <w:color w:val="000000"/>
          <w:sz w:val="23"/>
          <w:szCs w:val="23"/>
          <w:lang w:eastAsia="it-IT"/>
        </w:rPr>
        <w:t> il personale non dirigenziale che possegga i requisiti previsti dall’art. 20 comma 1 del cosiddetto </w:t>
      </w:r>
      <w:r w:rsidRPr="002628DC">
        <w:rPr>
          <w:rFonts w:ascii="Arial" w:eastAsia="Times New Roman" w:hAnsi="Arial" w:cs="Arial"/>
          <w:b/>
          <w:bCs/>
          <w:color w:val="000000"/>
          <w:sz w:val="23"/>
          <w:szCs w:val="23"/>
          <w:lang w:eastAsia="it-IT"/>
        </w:rPr>
        <w:t>decreto Madia</w:t>
      </w:r>
      <w:r w:rsidRPr="002628DC">
        <w:rPr>
          <w:rFonts w:ascii="Arial" w:eastAsia="Times New Roman" w:hAnsi="Arial" w:cs="Arial"/>
          <w:color w:val="000000"/>
          <w:sz w:val="23"/>
          <w:szCs w:val="23"/>
          <w:lang w:eastAsia="it-IT"/>
        </w:rPr>
        <w:t>, </w:t>
      </w:r>
      <w:hyperlink r:id="rId12" w:tgtFrame="_blank" w:history="1">
        <w:r w:rsidRPr="002628DC">
          <w:rPr>
            <w:rFonts w:ascii="Arial" w:eastAsia="Times New Roman" w:hAnsi="Arial" w:cs="Arial"/>
            <w:color w:val="005EB3"/>
            <w:sz w:val="23"/>
            <w:szCs w:val="23"/>
            <w:u w:val="single"/>
            <w:lang w:eastAsia="it-IT"/>
          </w:rPr>
          <w:t>Decreto Legislativo 75/17</w:t>
        </w:r>
      </w:hyperlink>
      <w:r w:rsidRPr="002628DC">
        <w:rPr>
          <w:rFonts w:ascii="Arial" w:eastAsia="Times New Roman" w:hAnsi="Arial" w:cs="Arial"/>
          <w:color w:val="000000"/>
          <w:sz w:val="23"/>
          <w:szCs w:val="23"/>
          <w:lang w:eastAsia="it-IT"/>
        </w:rPr>
        <w:t>.</w:t>
      </w:r>
    </w:p>
    <w:p w:rsidR="002628DC" w:rsidRPr="002628DC" w:rsidRDefault="002628DC" w:rsidP="002628DC">
      <w:pPr>
        <w:numPr>
          <w:ilvl w:val="0"/>
          <w:numId w:val="1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Ai fini della stabilizzazione dei precari di cui all’</w:t>
      </w:r>
      <w:r w:rsidRPr="002628DC">
        <w:rPr>
          <w:rFonts w:ascii="Arial" w:eastAsia="Times New Roman" w:hAnsi="Arial" w:cs="Arial"/>
          <w:b/>
          <w:bCs/>
          <w:color w:val="000000"/>
          <w:sz w:val="23"/>
          <w:szCs w:val="23"/>
          <w:lang w:eastAsia="it-IT"/>
        </w:rPr>
        <w:t>art. 20 comma 1 del D. Lgs 75/17</w:t>
      </w:r>
      <w:r w:rsidRPr="002628DC">
        <w:rPr>
          <w:rFonts w:ascii="Arial" w:eastAsia="Times New Roman" w:hAnsi="Arial" w:cs="Arial"/>
          <w:color w:val="000000"/>
          <w:sz w:val="23"/>
          <w:szCs w:val="23"/>
          <w:lang w:eastAsia="it-IT"/>
        </w:rPr>
        <w:t> il termine per acquisire i </w:t>
      </w:r>
      <w:r w:rsidRPr="002628DC">
        <w:rPr>
          <w:rFonts w:ascii="Arial" w:eastAsia="Times New Roman" w:hAnsi="Arial" w:cs="Arial"/>
          <w:b/>
          <w:bCs/>
          <w:color w:val="000000"/>
          <w:sz w:val="23"/>
          <w:szCs w:val="23"/>
          <w:lang w:eastAsia="it-IT"/>
        </w:rPr>
        <w:t>tre anni di servizio</w:t>
      </w:r>
      <w:r w:rsidRPr="002628DC">
        <w:rPr>
          <w:rFonts w:ascii="Arial" w:eastAsia="Times New Roman" w:hAnsi="Arial" w:cs="Arial"/>
          <w:color w:val="000000"/>
          <w:sz w:val="23"/>
          <w:szCs w:val="23"/>
          <w:lang w:eastAsia="it-IT"/>
        </w:rPr>
        <w:t>, viene posticipato dal 31 dicembre 2017 al </w:t>
      </w:r>
      <w:r w:rsidRPr="002628DC">
        <w:rPr>
          <w:rFonts w:ascii="Arial" w:eastAsia="Times New Roman" w:hAnsi="Arial" w:cs="Arial"/>
          <w:b/>
          <w:bCs/>
          <w:color w:val="000000"/>
          <w:sz w:val="23"/>
          <w:szCs w:val="23"/>
          <w:lang w:eastAsia="it-IT"/>
        </w:rPr>
        <w:t>31 dicembre 2020</w:t>
      </w:r>
      <w:r w:rsidRPr="002628DC">
        <w:rPr>
          <w:rFonts w:ascii="Arial" w:eastAsia="Times New Roman" w:hAnsi="Arial" w:cs="Arial"/>
          <w:color w:val="000000"/>
          <w:sz w:val="23"/>
          <w:szCs w:val="23"/>
          <w:lang w:eastAsia="it-IT"/>
        </w:rPr>
        <w:t>. I tre anni devono essere prestati negli ultimi otto anni ossia a partire dal 1° gennaio 2013.</w:t>
      </w:r>
    </w:p>
    <w:p w:rsidR="002628DC" w:rsidRPr="002628DC" w:rsidRDefault="002628DC" w:rsidP="002628DC">
      <w:pPr>
        <w:numPr>
          <w:ilvl w:val="0"/>
          <w:numId w:val="1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b/>
          <w:bCs/>
          <w:color w:val="000000"/>
          <w:sz w:val="23"/>
          <w:szCs w:val="23"/>
          <w:lang w:eastAsia="it-IT"/>
        </w:rPr>
        <w:t>Passa dal 20 al 30%</w:t>
      </w:r>
      <w:r w:rsidRPr="002628DC">
        <w:rPr>
          <w:rFonts w:ascii="Arial" w:eastAsia="Times New Roman" w:hAnsi="Arial" w:cs="Arial"/>
          <w:color w:val="000000"/>
          <w:sz w:val="23"/>
          <w:szCs w:val="23"/>
          <w:lang w:eastAsia="it-IT"/>
        </w:rPr>
        <w:t> </w:t>
      </w:r>
      <w:r w:rsidRPr="002628DC">
        <w:rPr>
          <w:rFonts w:ascii="Arial" w:eastAsia="Times New Roman" w:hAnsi="Arial" w:cs="Arial"/>
          <w:b/>
          <w:bCs/>
          <w:color w:val="000000"/>
          <w:sz w:val="23"/>
          <w:szCs w:val="23"/>
          <w:lang w:eastAsia="it-IT"/>
        </w:rPr>
        <w:t>per il triennio 2020-2022</w:t>
      </w:r>
      <w:r w:rsidRPr="002628DC">
        <w:rPr>
          <w:rFonts w:ascii="Arial" w:eastAsia="Times New Roman" w:hAnsi="Arial" w:cs="Arial"/>
          <w:color w:val="000000"/>
          <w:sz w:val="23"/>
          <w:szCs w:val="23"/>
          <w:lang w:eastAsia="it-IT"/>
        </w:rPr>
        <w:t> l’aliquota destinata dall’art. 22 comma 15 del D.Lgs. 75/17 alle </w:t>
      </w:r>
      <w:r w:rsidRPr="002628DC">
        <w:rPr>
          <w:rFonts w:ascii="Arial" w:eastAsia="Times New Roman" w:hAnsi="Arial" w:cs="Arial"/>
          <w:b/>
          <w:bCs/>
          <w:color w:val="000000"/>
          <w:sz w:val="23"/>
          <w:szCs w:val="23"/>
          <w:lang w:eastAsia="it-IT"/>
        </w:rPr>
        <w:t>procedure selettive per la progressione tra le aree</w:t>
      </w:r>
      <w:r w:rsidRPr="002628DC">
        <w:rPr>
          <w:rFonts w:ascii="Arial" w:eastAsia="Times New Roman" w:hAnsi="Arial" w:cs="Arial"/>
          <w:color w:val="000000"/>
          <w:sz w:val="23"/>
          <w:szCs w:val="23"/>
          <w:lang w:eastAsia="it-IT"/>
        </w:rPr>
        <w:t> riservate al personale di ruolo, fermo restando il possesso dei titoli di studio richiesti per l'accesso dall'esterno.</w:t>
      </w:r>
    </w:p>
    <w:p w:rsidR="002628DC" w:rsidRPr="002628DC" w:rsidRDefault="002628DC" w:rsidP="002628DC">
      <w:pPr>
        <w:numPr>
          <w:ilvl w:val="0"/>
          <w:numId w:val="11"/>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 decorrere dal 1° marzo 2020, le amministrazioni che possono ricoprire posti vacanti in organico mediante </w:t>
      </w:r>
      <w:r w:rsidRPr="002628DC">
        <w:rPr>
          <w:rFonts w:ascii="Arial" w:eastAsia="Times New Roman" w:hAnsi="Arial" w:cs="Arial"/>
          <w:b/>
          <w:bCs/>
          <w:color w:val="000000"/>
          <w:sz w:val="23"/>
          <w:szCs w:val="23"/>
          <w:lang w:eastAsia="it-IT"/>
        </w:rPr>
        <w:t>passaggio diretto di dipendenti</w:t>
      </w:r>
      <w:r w:rsidRPr="002628DC">
        <w:rPr>
          <w:rFonts w:ascii="Arial" w:eastAsia="Times New Roman" w:hAnsi="Arial" w:cs="Arial"/>
          <w:color w:val="000000"/>
          <w:sz w:val="23"/>
          <w:szCs w:val="23"/>
          <w:lang w:eastAsia="it-IT"/>
        </w:rPr>
        <w:t> (art. 30 comma 1 del D. Lgs. 165/01), pubblicano i bandi di mobilità nel portale internet del Dipartimento della funzione pubblica della Presidenza del Consiglio dei ministri. A tale fine, con decreto del Ministro per la pubblica amministrazione, previa intesa in sede di Conferenza unificata sono disciplinate le modalità di pubblicazione nel sito del Dipartimento</w:t>
      </w:r>
    </w:p>
    <w:p w:rsidR="002628DC" w:rsidRPr="002628DC" w:rsidRDefault="002628DC" w:rsidP="002628DC">
      <w:pPr>
        <w:numPr>
          <w:ilvl w:val="1"/>
          <w:numId w:val="11"/>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lastRenderedPageBreak/>
        <w:t>degli avvisi di mobilità adottati dalle pubbliche amministrazioni,</w:t>
      </w:r>
    </w:p>
    <w:p w:rsidR="002628DC" w:rsidRPr="002628DC" w:rsidRDefault="002628DC" w:rsidP="002628DC">
      <w:pPr>
        <w:numPr>
          <w:ilvl w:val="1"/>
          <w:numId w:val="11"/>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dei bandi di concorso per l'accesso al pubblico impiego,</w:t>
      </w:r>
    </w:p>
    <w:p w:rsidR="002628DC" w:rsidRPr="002628DC" w:rsidRDefault="002628DC" w:rsidP="002628DC">
      <w:pPr>
        <w:numPr>
          <w:ilvl w:val="1"/>
          <w:numId w:val="11"/>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delle relative graduatorie di merito e delle graduatorie degli idonei non vincitori ai quali le amministrazioni possono attingere, nei limiti di validità delle graduatorie medesime.</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Proroga della prescrizione dei contributi per i dipendenti pubblici</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L’art. 11 comma 3 proroga fino al </w:t>
      </w:r>
      <w:r w:rsidRPr="002628DC">
        <w:rPr>
          <w:rFonts w:ascii="Arial" w:eastAsia="Times New Roman" w:hAnsi="Arial" w:cs="Arial"/>
          <w:b/>
          <w:bCs/>
          <w:color w:val="000000"/>
          <w:sz w:val="21"/>
          <w:szCs w:val="21"/>
          <w:lang w:eastAsia="it-IT"/>
        </w:rPr>
        <w:t>31 dicembre 2022</w:t>
      </w:r>
      <w:r w:rsidRPr="002628DC">
        <w:rPr>
          <w:rFonts w:ascii="Arial" w:eastAsia="Times New Roman" w:hAnsi="Arial" w:cs="Arial"/>
          <w:color w:val="000000"/>
          <w:sz w:val="21"/>
          <w:szCs w:val="21"/>
          <w:lang w:eastAsia="it-IT"/>
        </w:rPr>
        <w:t>, per i lavoratori dipendenti delle amministrazioni pubbliche, i termini di </w:t>
      </w:r>
      <w:r w:rsidRPr="002628DC">
        <w:rPr>
          <w:rFonts w:ascii="Arial" w:eastAsia="Times New Roman" w:hAnsi="Arial" w:cs="Arial"/>
          <w:b/>
          <w:bCs/>
          <w:color w:val="000000"/>
          <w:sz w:val="21"/>
          <w:szCs w:val="21"/>
          <w:lang w:eastAsia="it-IT"/>
        </w:rPr>
        <w:t>prescrizione delle contribuzioni di previdenza e di assistenza sociale obbligatoria</w:t>
      </w:r>
      <w:r w:rsidRPr="002628DC">
        <w:rPr>
          <w:rFonts w:ascii="Arial" w:eastAsia="Times New Roman" w:hAnsi="Arial" w:cs="Arial"/>
          <w:color w:val="000000"/>
          <w:sz w:val="21"/>
          <w:szCs w:val="21"/>
          <w:lang w:eastAsia="it-IT"/>
        </w:rPr>
        <w:t> relativi ai periodi di competenza fino al 31 dicembre 2015.</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Clausola 34%</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L’art. 30 prevede un’ulteriore </w:t>
      </w:r>
      <w:r w:rsidRPr="002628DC">
        <w:rPr>
          <w:rFonts w:ascii="Arial" w:eastAsia="Times New Roman" w:hAnsi="Arial" w:cs="Arial"/>
          <w:b/>
          <w:bCs/>
          <w:color w:val="000000"/>
          <w:sz w:val="21"/>
          <w:szCs w:val="21"/>
          <w:lang w:eastAsia="it-IT"/>
        </w:rPr>
        <w:t>norma per l’attuazione della clausola del 34 per cento per le Regioni del Mezzogiorno.</w:t>
      </w:r>
      <w:r w:rsidRPr="002628DC">
        <w:rPr>
          <w:rFonts w:ascii="Arial" w:eastAsia="Times New Roman" w:hAnsi="Arial" w:cs="Arial"/>
          <w:color w:val="000000"/>
          <w:sz w:val="21"/>
          <w:szCs w:val="21"/>
          <w:lang w:eastAsia="it-IT"/>
        </w:rPr>
        <w:t> In particolare, </w:t>
      </w:r>
      <w:r w:rsidRPr="002628DC">
        <w:rPr>
          <w:rFonts w:ascii="Arial" w:eastAsia="Times New Roman" w:hAnsi="Arial" w:cs="Arial"/>
          <w:b/>
          <w:bCs/>
          <w:color w:val="000000"/>
          <w:sz w:val="21"/>
          <w:szCs w:val="21"/>
          <w:lang w:eastAsia="it-IT"/>
        </w:rPr>
        <w:t>entro il 30 aprile 2020</w:t>
      </w:r>
      <w:r w:rsidRPr="002628DC">
        <w:rPr>
          <w:rFonts w:ascii="Arial" w:eastAsia="Times New Roman" w:hAnsi="Arial" w:cs="Arial"/>
          <w:color w:val="000000"/>
          <w:sz w:val="21"/>
          <w:szCs w:val="21"/>
          <w:lang w:eastAsia="it-IT"/>
        </w:rPr>
        <w:t> con decreto del Presidente del Consiglio dei Ministri sono stabilite le modalità per </w:t>
      </w:r>
      <w:r w:rsidRPr="002628DC">
        <w:rPr>
          <w:rFonts w:ascii="Arial" w:eastAsia="Times New Roman" w:hAnsi="Arial" w:cs="Arial"/>
          <w:b/>
          <w:bCs/>
          <w:color w:val="000000"/>
          <w:sz w:val="21"/>
          <w:szCs w:val="21"/>
          <w:lang w:eastAsia="it-IT"/>
        </w:rPr>
        <w:t>verificare che i programmi di spesa </w:t>
      </w:r>
      <w:r w:rsidRPr="002628DC">
        <w:rPr>
          <w:rFonts w:ascii="Arial" w:eastAsia="Times New Roman" w:hAnsi="Arial" w:cs="Arial"/>
          <w:color w:val="000000"/>
          <w:sz w:val="21"/>
          <w:szCs w:val="21"/>
          <w:lang w:eastAsia="it-IT"/>
        </w:rPr>
        <w:t>finalizzati alla crescita o al sostegno degli investimenti da assegnare sull'intero territorio nazionale, che non abbia criteri o indicatori di attribuzione già individuati, siano </w:t>
      </w:r>
      <w:r w:rsidRPr="002628DC">
        <w:rPr>
          <w:rFonts w:ascii="Arial" w:eastAsia="Times New Roman" w:hAnsi="Arial" w:cs="Arial"/>
          <w:b/>
          <w:bCs/>
          <w:color w:val="000000"/>
          <w:sz w:val="21"/>
          <w:szCs w:val="21"/>
          <w:lang w:eastAsia="it-IT"/>
        </w:rPr>
        <w:t>attribuiti</w:t>
      </w:r>
      <w:r w:rsidRPr="002628DC">
        <w:rPr>
          <w:rFonts w:ascii="Arial" w:eastAsia="Times New Roman" w:hAnsi="Arial" w:cs="Arial"/>
          <w:color w:val="000000"/>
          <w:sz w:val="21"/>
          <w:szCs w:val="21"/>
          <w:lang w:eastAsia="it-IT"/>
        </w:rPr>
        <w:t> in conformità con la clausola che prevede che tali risorse siano ripartite con riferimento alla </w:t>
      </w:r>
      <w:r w:rsidRPr="002628DC">
        <w:rPr>
          <w:rFonts w:ascii="Arial" w:eastAsia="Times New Roman" w:hAnsi="Arial" w:cs="Arial"/>
          <w:b/>
          <w:bCs/>
          <w:color w:val="000000"/>
          <w:sz w:val="21"/>
          <w:szCs w:val="21"/>
          <w:lang w:eastAsia="it-IT"/>
        </w:rPr>
        <w:t>popolazione residente</w:t>
      </w:r>
      <w:r w:rsidRPr="002628DC">
        <w:rPr>
          <w:rFonts w:ascii="Arial" w:eastAsia="Times New Roman" w:hAnsi="Arial" w:cs="Arial"/>
          <w:color w:val="000000"/>
          <w:sz w:val="21"/>
          <w:szCs w:val="21"/>
          <w:lang w:eastAsia="it-IT"/>
        </w:rPr>
        <w:t> nelle Regioni Abruzzo, Basilicata, Calabria, Campania, Molise, Puglia, Sardegna e Sicilia.</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Misure in materia di innovazione tecnologica</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L’art. 42 (Agenda digitale) prevede la </w:t>
      </w:r>
      <w:r w:rsidRPr="002628DC">
        <w:rPr>
          <w:rFonts w:ascii="Arial" w:eastAsia="Times New Roman" w:hAnsi="Arial" w:cs="Arial"/>
          <w:b/>
          <w:bCs/>
          <w:color w:val="000000"/>
          <w:sz w:val="21"/>
          <w:szCs w:val="21"/>
          <w:lang w:eastAsia="it-IT"/>
        </w:rPr>
        <w:t>costituzione di un contingente di personale, composto da sette unità</w:t>
      </w:r>
      <w:r w:rsidRPr="002628DC">
        <w:rPr>
          <w:rFonts w:ascii="Arial" w:eastAsia="Times New Roman" w:hAnsi="Arial" w:cs="Arial"/>
          <w:color w:val="000000"/>
          <w:sz w:val="21"/>
          <w:szCs w:val="21"/>
          <w:lang w:eastAsia="it-IT"/>
        </w:rPr>
        <w:t> con qualifica non dirigenziale, formato da esperti in possesso di specifica ed elevata competenza nello sviluppo e gestione di processi complessi di trasformazione tecnologica e delle correlate iniziative di comunicazione e disseminazione e di significativa esperienza in progetti di trasformazione digitale, compreso lo sviluppo di programmi e piattaforme digitali con diffusione su larga scala.</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Tale contingente ha </w:t>
      </w:r>
      <w:r w:rsidRPr="002628DC">
        <w:rPr>
          <w:rFonts w:ascii="Arial" w:eastAsia="Times New Roman" w:hAnsi="Arial" w:cs="Arial"/>
          <w:b/>
          <w:bCs/>
          <w:color w:val="000000"/>
          <w:sz w:val="21"/>
          <w:szCs w:val="21"/>
          <w:lang w:eastAsia="it-IT"/>
        </w:rPr>
        <w:t>funzioni di supporto</w:t>
      </w:r>
    </w:p>
    <w:p w:rsidR="002628DC" w:rsidRPr="002628DC" w:rsidRDefault="002628DC" w:rsidP="002628DC">
      <w:pPr>
        <w:numPr>
          <w:ilvl w:val="0"/>
          <w:numId w:val="12"/>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nella materia dell'</w:t>
      </w:r>
      <w:r w:rsidRPr="002628DC">
        <w:rPr>
          <w:rFonts w:ascii="Arial" w:eastAsia="Times New Roman" w:hAnsi="Arial" w:cs="Arial"/>
          <w:b/>
          <w:bCs/>
          <w:color w:val="000000"/>
          <w:sz w:val="23"/>
          <w:szCs w:val="23"/>
          <w:lang w:eastAsia="it-IT"/>
        </w:rPr>
        <w:t>innovazione tecnologica</w:t>
      </w:r>
      <w:r w:rsidRPr="002628DC">
        <w:rPr>
          <w:rFonts w:ascii="Arial" w:eastAsia="Times New Roman" w:hAnsi="Arial" w:cs="Arial"/>
          <w:color w:val="000000"/>
          <w:sz w:val="23"/>
          <w:szCs w:val="23"/>
          <w:lang w:eastAsia="it-IT"/>
        </w:rPr>
        <w:t>, anche al fine di favorire la diffusione di processi di innovazione tecnologica delle imprese e start-up</w:t>
      </w:r>
    </w:p>
    <w:p w:rsidR="002628DC" w:rsidRPr="002628DC" w:rsidRDefault="002628DC" w:rsidP="002628DC">
      <w:pPr>
        <w:numPr>
          <w:ilvl w:val="0"/>
          <w:numId w:val="12"/>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nelle materie dell'</w:t>
      </w:r>
      <w:r w:rsidRPr="002628DC">
        <w:rPr>
          <w:rFonts w:ascii="Arial" w:eastAsia="Times New Roman" w:hAnsi="Arial" w:cs="Arial"/>
          <w:b/>
          <w:bCs/>
          <w:color w:val="000000"/>
          <w:sz w:val="23"/>
          <w:szCs w:val="23"/>
          <w:lang w:eastAsia="it-IT"/>
        </w:rPr>
        <w:t>attuazione dell'agenda digitale e della trasformazione digitale del Paese,</w:t>
      </w:r>
      <w:r w:rsidRPr="002628DC">
        <w:rPr>
          <w:rFonts w:ascii="Arial" w:eastAsia="Times New Roman" w:hAnsi="Arial" w:cs="Arial"/>
          <w:color w:val="000000"/>
          <w:sz w:val="23"/>
          <w:szCs w:val="23"/>
          <w:lang w:eastAsia="it-IT"/>
        </w:rPr>
        <w:t> con particolare riferimento</w:t>
      </w:r>
    </w:p>
    <w:p w:rsidR="002628DC" w:rsidRPr="002628DC" w:rsidRDefault="002628DC" w:rsidP="002628DC">
      <w:pPr>
        <w:numPr>
          <w:ilvl w:val="1"/>
          <w:numId w:val="12"/>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alle </w:t>
      </w:r>
      <w:r w:rsidRPr="002628DC">
        <w:rPr>
          <w:rFonts w:ascii="Arial" w:eastAsia="Times New Roman" w:hAnsi="Arial" w:cs="Arial"/>
          <w:b/>
          <w:bCs/>
          <w:color w:val="000000"/>
          <w:sz w:val="23"/>
          <w:szCs w:val="23"/>
          <w:lang w:eastAsia="it-IT"/>
        </w:rPr>
        <w:t>infrastrutture digitali materiali e immateriali</w:t>
      </w:r>
    </w:p>
    <w:p w:rsidR="002628DC" w:rsidRPr="002628DC" w:rsidRDefault="002628DC" w:rsidP="002628DC">
      <w:pPr>
        <w:numPr>
          <w:ilvl w:val="1"/>
          <w:numId w:val="12"/>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alle </w:t>
      </w:r>
      <w:r w:rsidRPr="002628DC">
        <w:rPr>
          <w:rFonts w:ascii="Arial" w:eastAsia="Times New Roman" w:hAnsi="Arial" w:cs="Arial"/>
          <w:b/>
          <w:bCs/>
          <w:color w:val="000000"/>
          <w:sz w:val="23"/>
          <w:szCs w:val="23"/>
          <w:lang w:eastAsia="it-IT"/>
        </w:rPr>
        <w:t>tecnologie e servizi di rete</w:t>
      </w:r>
    </w:p>
    <w:p w:rsidR="002628DC" w:rsidRPr="002628DC" w:rsidRDefault="002628DC" w:rsidP="002628DC">
      <w:pPr>
        <w:numPr>
          <w:ilvl w:val="1"/>
          <w:numId w:val="12"/>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allo </w:t>
      </w:r>
      <w:r w:rsidRPr="002628DC">
        <w:rPr>
          <w:rFonts w:ascii="Arial" w:eastAsia="Times New Roman" w:hAnsi="Arial" w:cs="Arial"/>
          <w:b/>
          <w:bCs/>
          <w:color w:val="000000"/>
          <w:sz w:val="23"/>
          <w:szCs w:val="23"/>
          <w:lang w:eastAsia="it-IT"/>
        </w:rPr>
        <w:t>sviluppo ed alla diffusione dell'uso delle tecnologie tra cittadini</w:t>
      </w:r>
      <w:r w:rsidRPr="002628DC">
        <w:rPr>
          <w:rFonts w:ascii="Arial" w:eastAsia="Times New Roman" w:hAnsi="Arial" w:cs="Arial"/>
          <w:color w:val="000000"/>
          <w:sz w:val="23"/>
          <w:szCs w:val="23"/>
          <w:lang w:eastAsia="it-IT"/>
        </w:rPr>
        <w:t>, imprese e pubbliche amministrazioni</w:t>
      </w:r>
    </w:p>
    <w:p w:rsidR="002628DC" w:rsidRPr="002628DC" w:rsidRDefault="002628DC" w:rsidP="002628DC">
      <w:pPr>
        <w:numPr>
          <w:ilvl w:val="1"/>
          <w:numId w:val="12"/>
        </w:numPr>
        <w:shd w:val="clear" w:color="auto" w:fill="FFFFFF"/>
        <w:spacing w:after="150"/>
        <w:ind w:left="450"/>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alla </w:t>
      </w:r>
      <w:r w:rsidRPr="002628DC">
        <w:rPr>
          <w:rFonts w:ascii="Arial" w:eastAsia="Times New Roman" w:hAnsi="Arial" w:cs="Arial"/>
          <w:b/>
          <w:bCs/>
          <w:color w:val="000000"/>
          <w:sz w:val="23"/>
          <w:szCs w:val="23"/>
          <w:lang w:eastAsia="it-IT"/>
        </w:rPr>
        <w:t>diffusione dell'educazione e della cultura digitale</w:t>
      </w:r>
      <w:r w:rsidRPr="002628DC">
        <w:rPr>
          <w:rFonts w:ascii="Arial" w:eastAsia="Times New Roman" w:hAnsi="Arial" w:cs="Arial"/>
          <w:color w:val="000000"/>
          <w:sz w:val="23"/>
          <w:szCs w:val="23"/>
          <w:lang w:eastAsia="it-IT"/>
        </w:rPr>
        <w:t> anche attraverso il necessario raccordo e coordinamento con le organizzazioni internazionali ed europee operanti nel settore.</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Il contingente </w:t>
      </w:r>
      <w:r w:rsidRPr="002628DC">
        <w:rPr>
          <w:rFonts w:ascii="Arial" w:eastAsia="Times New Roman" w:hAnsi="Arial" w:cs="Arial"/>
          <w:b/>
          <w:bCs/>
          <w:color w:val="000000"/>
          <w:sz w:val="21"/>
          <w:szCs w:val="21"/>
          <w:lang w:eastAsia="it-IT"/>
        </w:rPr>
        <w:t>opera alle dirette dipendenze delle strutture del Ministero per l'Innovazione tecnologica e la Digitalizzazione</w:t>
      </w:r>
      <w:r w:rsidRPr="002628DC">
        <w:rPr>
          <w:rFonts w:ascii="Arial" w:eastAsia="Times New Roman" w:hAnsi="Arial" w:cs="Arial"/>
          <w:color w:val="000000"/>
          <w:sz w:val="21"/>
          <w:szCs w:val="21"/>
          <w:lang w:eastAsia="it-IT"/>
        </w:rPr>
        <w:t> ed è composto da </w:t>
      </w:r>
      <w:r w:rsidRPr="002628DC">
        <w:rPr>
          <w:rFonts w:ascii="Arial" w:eastAsia="Times New Roman" w:hAnsi="Arial" w:cs="Arial"/>
          <w:b/>
          <w:bCs/>
          <w:color w:val="000000"/>
          <w:sz w:val="21"/>
          <w:szCs w:val="21"/>
          <w:lang w:eastAsia="it-IT"/>
        </w:rPr>
        <w:t>personale in posizione di fuori ruolo, comando o altra analoga posizione</w:t>
      </w:r>
      <w:r w:rsidRPr="002628DC">
        <w:rPr>
          <w:rFonts w:ascii="Arial" w:eastAsia="Times New Roman" w:hAnsi="Arial" w:cs="Arial"/>
          <w:color w:val="000000"/>
          <w:sz w:val="21"/>
          <w:szCs w:val="21"/>
          <w:lang w:eastAsia="it-IT"/>
        </w:rPr>
        <w:t>, prevista dagli ordinamenti di appartenenza, proveniente da ministeri, </w:t>
      </w:r>
      <w:r w:rsidRPr="002628DC">
        <w:rPr>
          <w:rFonts w:ascii="Arial" w:eastAsia="Times New Roman" w:hAnsi="Arial" w:cs="Arial"/>
          <w:b/>
          <w:bCs/>
          <w:color w:val="000000"/>
          <w:sz w:val="21"/>
          <w:szCs w:val="21"/>
          <w:lang w:eastAsia="it-IT"/>
        </w:rPr>
        <w:t>ad esclusione</w:t>
      </w:r>
      <w:r w:rsidRPr="002628DC">
        <w:rPr>
          <w:rFonts w:ascii="Arial" w:eastAsia="Times New Roman" w:hAnsi="Arial" w:cs="Arial"/>
          <w:color w:val="000000"/>
          <w:sz w:val="21"/>
          <w:szCs w:val="21"/>
          <w:lang w:eastAsia="it-IT"/>
        </w:rPr>
        <w:t> dei ministeri dell'interno, della difesa, della giustizia, dell'economia e delle finanze e dell'istruzione, dell'università e della ricerca, </w:t>
      </w:r>
      <w:r w:rsidRPr="002628DC">
        <w:rPr>
          <w:rFonts w:ascii="Arial" w:eastAsia="Times New Roman" w:hAnsi="Arial" w:cs="Arial"/>
          <w:b/>
          <w:bCs/>
          <w:color w:val="000000"/>
          <w:sz w:val="21"/>
          <w:szCs w:val="21"/>
          <w:lang w:eastAsia="it-IT"/>
        </w:rPr>
        <w:t>del personale docente educativo, amministrativo, tecnico ed ausiliario delle istituzioni scolastiche.</w:t>
      </w:r>
    </w:p>
    <w:p w:rsidR="002628DC" w:rsidRPr="002628DC" w:rsidRDefault="002628DC" w:rsidP="002628DC">
      <w:pPr>
        <w:shd w:val="clear" w:color="auto" w:fill="FFFFFF"/>
        <w:spacing w:after="225"/>
        <w:ind w:left="300" w:firstLine="0"/>
        <w:jc w:val="both"/>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lastRenderedPageBreak/>
        <w:t>Infine, </w:t>
      </w:r>
      <w:r w:rsidRPr="002628DC">
        <w:rPr>
          <w:rFonts w:ascii="Arial" w:eastAsia="Times New Roman" w:hAnsi="Arial" w:cs="Arial"/>
          <w:b/>
          <w:bCs/>
          <w:color w:val="000000"/>
          <w:sz w:val="21"/>
          <w:szCs w:val="21"/>
          <w:lang w:eastAsia="it-IT"/>
        </w:rPr>
        <w:t>novità di particolare rilievo</w:t>
      </w:r>
      <w:r w:rsidRPr="002628DC">
        <w:rPr>
          <w:rFonts w:ascii="Arial" w:eastAsia="Times New Roman" w:hAnsi="Arial" w:cs="Arial"/>
          <w:color w:val="000000"/>
          <w:sz w:val="21"/>
          <w:szCs w:val="21"/>
          <w:lang w:eastAsia="it-IT"/>
        </w:rPr>
        <w:t>, sarà la </w:t>
      </w:r>
      <w:r w:rsidRPr="002628DC">
        <w:rPr>
          <w:rFonts w:ascii="Arial" w:eastAsia="Times New Roman" w:hAnsi="Arial" w:cs="Arial"/>
          <w:b/>
          <w:bCs/>
          <w:color w:val="000000"/>
          <w:sz w:val="21"/>
          <w:szCs w:val="21"/>
          <w:lang w:eastAsia="it-IT"/>
        </w:rPr>
        <w:t>Presidenza del Consiglio dei Ministri</w:t>
      </w:r>
      <w:r w:rsidRPr="002628DC">
        <w:rPr>
          <w:rFonts w:ascii="Arial" w:eastAsia="Times New Roman" w:hAnsi="Arial" w:cs="Arial"/>
          <w:color w:val="000000"/>
          <w:sz w:val="21"/>
          <w:szCs w:val="21"/>
          <w:lang w:eastAsia="it-IT"/>
        </w:rPr>
        <w:t> e non più l’Agenzia per l’Italia digitale (Agid) a mettere a disposizione la </w:t>
      </w:r>
      <w:r w:rsidRPr="002628DC">
        <w:rPr>
          <w:rFonts w:ascii="Arial" w:eastAsia="Times New Roman" w:hAnsi="Arial" w:cs="Arial"/>
          <w:b/>
          <w:bCs/>
          <w:color w:val="000000"/>
          <w:sz w:val="21"/>
          <w:szCs w:val="21"/>
          <w:lang w:eastAsia="it-IT"/>
        </w:rPr>
        <w:t>piattaforma tecnologica</w:t>
      </w:r>
      <w:r w:rsidRPr="002628DC">
        <w:rPr>
          <w:rFonts w:ascii="Arial" w:eastAsia="Times New Roman" w:hAnsi="Arial" w:cs="Arial"/>
          <w:color w:val="000000"/>
          <w:sz w:val="21"/>
          <w:szCs w:val="21"/>
          <w:lang w:eastAsia="it-IT"/>
        </w:rPr>
        <w:t> per l'interconnessione e l'interoperabilità tra le pubbliche amministrazioni e i prestatori di servizi di pagamento abilitati, al fine di assicurare, attraverso il </w:t>
      </w:r>
      <w:r w:rsidRPr="002628DC">
        <w:rPr>
          <w:rFonts w:ascii="Arial" w:eastAsia="Times New Roman" w:hAnsi="Arial" w:cs="Arial"/>
          <w:b/>
          <w:bCs/>
          <w:color w:val="000000"/>
          <w:sz w:val="21"/>
          <w:szCs w:val="21"/>
          <w:lang w:eastAsia="it-IT"/>
        </w:rPr>
        <w:t>Sistema pubblico per la gestione delle identità digitali</w:t>
      </w:r>
      <w:r w:rsidRPr="002628DC">
        <w:rPr>
          <w:rFonts w:ascii="Arial" w:eastAsia="Times New Roman" w:hAnsi="Arial" w:cs="Arial"/>
          <w:color w:val="000000"/>
          <w:sz w:val="21"/>
          <w:szCs w:val="21"/>
          <w:lang w:eastAsia="it-IT"/>
        </w:rPr>
        <w:t> (SPID), l'autenticazione dei soggetti interessati all'operazione in tutta la gestione del processo di pagamento. </w:t>
      </w:r>
      <w:r w:rsidRPr="002628DC">
        <w:rPr>
          <w:rFonts w:ascii="Arial" w:eastAsia="Times New Roman" w:hAnsi="Arial" w:cs="Arial"/>
          <w:b/>
          <w:bCs/>
          <w:color w:val="000000"/>
          <w:sz w:val="21"/>
          <w:szCs w:val="21"/>
          <w:lang w:eastAsia="it-IT"/>
        </w:rPr>
        <w:t>Conseguentemente la gestione dello SPID passa alle dirette dipendenze della Presidenza del Consiglio dei ministri.</w:t>
      </w:r>
    </w:p>
    <w:p w:rsidR="002628DC" w:rsidRPr="002628DC" w:rsidRDefault="002628DC" w:rsidP="002628DC">
      <w:pPr>
        <w:pBdr>
          <w:bottom w:val="dotted" w:sz="6" w:space="3" w:color="CCCCCC"/>
        </w:pBdr>
        <w:shd w:val="clear" w:color="auto" w:fill="F2F2F2"/>
        <w:spacing w:before="300" w:after="150"/>
        <w:ind w:left="300" w:firstLine="0"/>
        <w:outlineLvl w:val="4"/>
        <w:rPr>
          <w:rFonts w:ascii="Arial" w:eastAsia="Times New Roman" w:hAnsi="Arial" w:cs="Arial"/>
          <w:color w:val="535353"/>
          <w:sz w:val="27"/>
          <w:szCs w:val="27"/>
          <w:lang w:eastAsia="it-IT"/>
        </w:rPr>
      </w:pPr>
      <w:r w:rsidRPr="002628DC">
        <w:rPr>
          <w:rFonts w:ascii="Arial" w:eastAsia="Times New Roman" w:hAnsi="Arial" w:cs="Arial"/>
          <w:b/>
          <w:bCs/>
          <w:i/>
          <w:iCs/>
          <w:color w:val="535353"/>
          <w:sz w:val="27"/>
          <w:szCs w:val="27"/>
          <w:lang w:eastAsia="it-IT"/>
        </w:rPr>
        <w:t>Altri emendamenti</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 fine adeguare le retribuzioni del </w:t>
      </w:r>
      <w:r w:rsidRPr="002628DC">
        <w:rPr>
          <w:rFonts w:ascii="Arial" w:eastAsia="Times New Roman" w:hAnsi="Arial" w:cs="Arial"/>
          <w:b/>
          <w:bCs/>
          <w:color w:val="000000"/>
          <w:sz w:val="23"/>
          <w:szCs w:val="23"/>
          <w:lang w:eastAsia="it-IT"/>
        </w:rPr>
        <w:t>personale a contratto assunto dalle rappresentanze diplomatiche, gli uffici consolari di prima categoria e gli istituti italiani di cultura</w:t>
      </w:r>
      <w:r w:rsidRPr="002628DC">
        <w:rPr>
          <w:rFonts w:ascii="Arial" w:eastAsia="Times New Roman" w:hAnsi="Arial" w:cs="Arial"/>
          <w:color w:val="000000"/>
          <w:sz w:val="23"/>
          <w:szCs w:val="23"/>
          <w:lang w:eastAsia="it-IT"/>
        </w:rPr>
        <w:t>, sono stanziati euro 1.200.000 per l'anno 2020 e 1.400.000 annui a decorrere dall'anno 2021.</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w:t>
      </w:r>
      <w:r w:rsidRPr="002628DC">
        <w:rPr>
          <w:rFonts w:ascii="Arial" w:eastAsia="Times New Roman" w:hAnsi="Arial" w:cs="Arial"/>
          <w:b/>
          <w:bCs/>
          <w:color w:val="000000"/>
          <w:sz w:val="23"/>
          <w:szCs w:val="23"/>
          <w:lang w:eastAsia="it-IT"/>
        </w:rPr>
        <w:t>Agenzia italiana per la cooperazione </w:t>
      </w:r>
      <w:r w:rsidRPr="002628DC">
        <w:rPr>
          <w:rFonts w:ascii="Arial" w:eastAsia="Times New Roman" w:hAnsi="Arial" w:cs="Arial"/>
          <w:color w:val="000000"/>
          <w:sz w:val="23"/>
          <w:szCs w:val="23"/>
          <w:lang w:eastAsia="it-IT"/>
        </w:rPr>
        <w:t>allo sviluppo può utilizzare fino al 31 dicembre 2022 dipendenti delle pubbliche amministrazioni in posizione di comando.</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Viene </w:t>
      </w:r>
      <w:r w:rsidRPr="002628DC">
        <w:rPr>
          <w:rFonts w:ascii="Arial" w:eastAsia="Times New Roman" w:hAnsi="Arial" w:cs="Arial"/>
          <w:b/>
          <w:bCs/>
          <w:color w:val="000000"/>
          <w:sz w:val="23"/>
          <w:szCs w:val="23"/>
          <w:lang w:eastAsia="it-IT"/>
        </w:rPr>
        <w:t>posticipato al 30 giugno 2020</w:t>
      </w:r>
      <w:r w:rsidRPr="002628DC">
        <w:rPr>
          <w:rFonts w:ascii="Arial" w:eastAsia="Times New Roman" w:hAnsi="Arial" w:cs="Arial"/>
          <w:color w:val="000000"/>
          <w:sz w:val="23"/>
          <w:szCs w:val="23"/>
          <w:lang w:eastAsia="it-IT"/>
        </w:rPr>
        <w:t> il termine per l’iscrizione agli </w:t>
      </w:r>
      <w:r w:rsidRPr="002628DC">
        <w:rPr>
          <w:rFonts w:ascii="Arial" w:eastAsia="Times New Roman" w:hAnsi="Arial" w:cs="Arial"/>
          <w:b/>
          <w:bCs/>
          <w:color w:val="000000"/>
          <w:sz w:val="23"/>
          <w:szCs w:val="23"/>
          <w:lang w:eastAsia="it-IT"/>
        </w:rPr>
        <w:t>elenchi speciali</w:t>
      </w:r>
      <w:r w:rsidRPr="002628DC">
        <w:rPr>
          <w:rFonts w:ascii="Arial" w:eastAsia="Times New Roman" w:hAnsi="Arial" w:cs="Arial"/>
          <w:color w:val="000000"/>
          <w:sz w:val="23"/>
          <w:szCs w:val="23"/>
          <w:lang w:eastAsia="it-IT"/>
        </w:rPr>
        <w:t> per validare il riconoscimento dell’</w:t>
      </w:r>
      <w:r w:rsidRPr="002628DC">
        <w:rPr>
          <w:rFonts w:ascii="Arial" w:eastAsia="Times New Roman" w:hAnsi="Arial" w:cs="Arial"/>
          <w:b/>
          <w:bCs/>
          <w:color w:val="000000"/>
          <w:sz w:val="23"/>
          <w:szCs w:val="23"/>
          <w:lang w:eastAsia="it-IT"/>
        </w:rPr>
        <w:t>equivalenza al diploma di laurea </w:t>
      </w:r>
      <w:r w:rsidRPr="002628DC">
        <w:rPr>
          <w:rFonts w:ascii="Arial" w:eastAsia="Times New Roman" w:hAnsi="Arial" w:cs="Arial"/>
          <w:color w:val="000000"/>
          <w:sz w:val="23"/>
          <w:szCs w:val="23"/>
          <w:lang w:eastAsia="it-IT"/>
        </w:rPr>
        <w:t>delle </w:t>
      </w:r>
      <w:r w:rsidRPr="002628DC">
        <w:rPr>
          <w:rFonts w:ascii="Arial" w:eastAsia="Times New Roman" w:hAnsi="Arial" w:cs="Arial"/>
          <w:b/>
          <w:bCs/>
          <w:color w:val="000000"/>
          <w:sz w:val="23"/>
          <w:szCs w:val="23"/>
          <w:lang w:eastAsia="it-IT"/>
        </w:rPr>
        <w:t>professioni sanitarie </w:t>
      </w:r>
      <w:r w:rsidRPr="002628DC">
        <w:rPr>
          <w:rFonts w:ascii="Arial" w:eastAsia="Times New Roman" w:hAnsi="Arial" w:cs="Arial"/>
          <w:color w:val="000000"/>
          <w:sz w:val="23"/>
          <w:szCs w:val="23"/>
          <w:lang w:eastAsia="it-IT"/>
        </w:rPr>
        <w:t>per alcuni titoli conseguiti con il </w:t>
      </w:r>
      <w:r w:rsidRPr="002628DC">
        <w:rPr>
          <w:rFonts w:ascii="Arial" w:eastAsia="Times New Roman" w:hAnsi="Arial" w:cs="Arial"/>
          <w:b/>
          <w:bCs/>
          <w:color w:val="000000"/>
          <w:sz w:val="23"/>
          <w:szCs w:val="23"/>
          <w:lang w:eastAsia="it-IT"/>
        </w:rPr>
        <w:t>pregresso ordinamento</w:t>
      </w:r>
      <w:r w:rsidRPr="002628DC">
        <w:rPr>
          <w:rFonts w:ascii="Arial" w:eastAsia="Times New Roman" w:hAnsi="Arial" w:cs="Arial"/>
          <w:color w:val="000000"/>
          <w:sz w:val="23"/>
          <w:szCs w:val="23"/>
          <w:lang w:eastAsia="it-IT"/>
        </w:rPr>
        <w:t>, a seguito del considerevole slittamento dei tempi di emanazione del decreto attuativo della procedura di iscrizione - previsto dai commi 537 e 538, articolo 1, della legge di bilancio 2019 (L. n. 145 del 2018). In tal modo è possibile </w:t>
      </w:r>
      <w:r w:rsidRPr="002628DC">
        <w:rPr>
          <w:rFonts w:ascii="Arial" w:eastAsia="Times New Roman" w:hAnsi="Arial" w:cs="Arial"/>
          <w:b/>
          <w:bCs/>
          <w:color w:val="000000"/>
          <w:sz w:val="23"/>
          <w:szCs w:val="23"/>
          <w:lang w:eastAsia="it-IT"/>
        </w:rPr>
        <w:t>continuare ad occupare il profilo della professione sanitaria di riferimento</w:t>
      </w:r>
      <w:r w:rsidRPr="002628DC">
        <w:rPr>
          <w:rFonts w:ascii="Arial" w:eastAsia="Times New Roman" w:hAnsi="Arial" w:cs="Arial"/>
          <w:color w:val="000000"/>
          <w:sz w:val="23"/>
          <w:szCs w:val="23"/>
          <w:lang w:eastAsia="it-IT"/>
        </w:rPr>
        <w:t> da coloro che svolgono o abbiano svolto un’attività professionale in regime di lavoro dipendente o autonomo per un </w:t>
      </w:r>
      <w:r w:rsidRPr="002628DC">
        <w:rPr>
          <w:rFonts w:ascii="Arial" w:eastAsia="Times New Roman" w:hAnsi="Arial" w:cs="Arial"/>
          <w:b/>
          <w:bCs/>
          <w:color w:val="000000"/>
          <w:sz w:val="23"/>
          <w:szCs w:val="23"/>
          <w:lang w:eastAsia="it-IT"/>
        </w:rPr>
        <w:t>periodo minimo di 36 mesi (3 anni), anche non continuativi nell’arco degli ultimi 10 anni,</w:t>
      </w:r>
      <w:r w:rsidRPr="002628DC">
        <w:rPr>
          <w:rFonts w:ascii="Arial" w:eastAsia="Times New Roman" w:hAnsi="Arial" w:cs="Arial"/>
          <w:color w:val="000000"/>
          <w:sz w:val="23"/>
          <w:szCs w:val="23"/>
          <w:lang w:eastAsia="it-IT"/>
        </w:rPr>
        <w:t> a seguito di iscrizione in appositi elenchi speciali ad esaurimento istituti presso </w:t>
      </w:r>
      <w:r w:rsidRPr="002628DC">
        <w:rPr>
          <w:rFonts w:ascii="Arial" w:eastAsia="Times New Roman" w:hAnsi="Arial" w:cs="Arial"/>
          <w:b/>
          <w:bCs/>
          <w:color w:val="000000"/>
          <w:sz w:val="23"/>
          <w:szCs w:val="23"/>
          <w:lang w:eastAsia="it-IT"/>
        </w:rPr>
        <w:t>gli Ordini dei tecnici sanitari di radiologia medica</w:t>
      </w:r>
      <w:r w:rsidRPr="002628DC">
        <w:rPr>
          <w:rFonts w:ascii="Arial" w:eastAsia="Times New Roman" w:hAnsi="Arial" w:cs="Arial"/>
          <w:color w:val="000000"/>
          <w:sz w:val="23"/>
          <w:szCs w:val="23"/>
          <w:lang w:eastAsia="it-IT"/>
        </w:rPr>
        <w:t> e di </w:t>
      </w:r>
      <w:r w:rsidRPr="002628DC">
        <w:rPr>
          <w:rFonts w:ascii="Arial" w:eastAsia="Times New Roman" w:hAnsi="Arial" w:cs="Arial"/>
          <w:b/>
          <w:bCs/>
          <w:color w:val="000000"/>
          <w:sz w:val="23"/>
          <w:szCs w:val="23"/>
          <w:lang w:eastAsia="it-IT"/>
        </w:rPr>
        <w:t>specifiche professioni sanitarie tecniche.</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È </w:t>
      </w:r>
      <w:r w:rsidRPr="002628DC">
        <w:rPr>
          <w:rFonts w:ascii="Arial" w:eastAsia="Times New Roman" w:hAnsi="Arial" w:cs="Arial"/>
          <w:b/>
          <w:bCs/>
          <w:color w:val="000000"/>
          <w:sz w:val="23"/>
          <w:szCs w:val="23"/>
          <w:lang w:eastAsia="it-IT"/>
        </w:rPr>
        <w:t>differito</w:t>
      </w:r>
      <w:r w:rsidRPr="002628DC">
        <w:rPr>
          <w:rFonts w:ascii="Arial" w:eastAsia="Times New Roman" w:hAnsi="Arial" w:cs="Arial"/>
          <w:color w:val="000000"/>
          <w:sz w:val="23"/>
          <w:szCs w:val="23"/>
          <w:lang w:eastAsia="it-IT"/>
        </w:rPr>
        <w:t> di ulteriori </w:t>
      </w:r>
      <w:r w:rsidRPr="002628DC">
        <w:rPr>
          <w:rFonts w:ascii="Arial" w:eastAsia="Times New Roman" w:hAnsi="Arial" w:cs="Arial"/>
          <w:b/>
          <w:bCs/>
          <w:color w:val="000000"/>
          <w:sz w:val="23"/>
          <w:szCs w:val="23"/>
          <w:lang w:eastAsia="it-IT"/>
        </w:rPr>
        <w:t>due anni</w:t>
      </w:r>
      <w:r w:rsidRPr="002628DC">
        <w:rPr>
          <w:rFonts w:ascii="Arial" w:eastAsia="Times New Roman" w:hAnsi="Arial" w:cs="Arial"/>
          <w:color w:val="000000"/>
          <w:sz w:val="23"/>
          <w:szCs w:val="23"/>
          <w:lang w:eastAsia="it-IT"/>
        </w:rPr>
        <w:t> l'entrata in vigore della nuova disciplina dell'esame di Stato per l'</w:t>
      </w:r>
      <w:r w:rsidRPr="002628DC">
        <w:rPr>
          <w:rFonts w:ascii="Arial" w:eastAsia="Times New Roman" w:hAnsi="Arial" w:cs="Arial"/>
          <w:b/>
          <w:bCs/>
          <w:color w:val="000000"/>
          <w:sz w:val="23"/>
          <w:szCs w:val="23"/>
          <w:lang w:eastAsia="it-IT"/>
        </w:rPr>
        <w:t>abilitazione all'esercizio della professione di avvocato</w:t>
      </w:r>
      <w:r w:rsidRPr="002628DC">
        <w:rPr>
          <w:rFonts w:ascii="Arial" w:eastAsia="Times New Roman" w:hAnsi="Arial" w:cs="Arial"/>
          <w:color w:val="000000"/>
          <w:sz w:val="23"/>
          <w:szCs w:val="23"/>
          <w:lang w:eastAsia="it-IT"/>
        </w:rPr>
        <w:t>. Le nuove modalità di svolgimento delle prove </w:t>
      </w:r>
      <w:r w:rsidRPr="002628DC">
        <w:rPr>
          <w:rFonts w:ascii="Arial" w:eastAsia="Times New Roman" w:hAnsi="Arial" w:cs="Arial"/>
          <w:b/>
          <w:bCs/>
          <w:color w:val="000000"/>
          <w:sz w:val="23"/>
          <w:szCs w:val="23"/>
          <w:lang w:eastAsia="it-IT"/>
        </w:rPr>
        <w:t>entreranno in vigore</w:t>
      </w:r>
      <w:r w:rsidRPr="002628DC">
        <w:rPr>
          <w:rFonts w:ascii="Arial" w:eastAsia="Times New Roman" w:hAnsi="Arial" w:cs="Arial"/>
          <w:color w:val="000000"/>
          <w:sz w:val="23"/>
          <w:szCs w:val="23"/>
          <w:lang w:eastAsia="it-IT"/>
        </w:rPr>
        <w:t> a partire dalla </w:t>
      </w:r>
      <w:r w:rsidRPr="002628DC">
        <w:rPr>
          <w:rFonts w:ascii="Arial" w:eastAsia="Times New Roman" w:hAnsi="Arial" w:cs="Arial"/>
          <w:b/>
          <w:bCs/>
          <w:color w:val="000000"/>
          <w:sz w:val="23"/>
          <w:szCs w:val="23"/>
          <w:lang w:eastAsia="it-IT"/>
        </w:rPr>
        <w:t>sessione d'esame 2022 anziché dalla sessione 2020.</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Viene </w:t>
      </w:r>
      <w:r w:rsidRPr="002628DC">
        <w:rPr>
          <w:rFonts w:ascii="Arial" w:eastAsia="Times New Roman" w:hAnsi="Arial" w:cs="Arial"/>
          <w:b/>
          <w:bCs/>
          <w:color w:val="000000"/>
          <w:sz w:val="23"/>
          <w:szCs w:val="23"/>
          <w:lang w:eastAsia="it-IT"/>
        </w:rPr>
        <w:t>rifinanziato il Fondo per il sostegno alla promozione della lingua e della cultura italiana all’estero</w:t>
      </w:r>
      <w:r w:rsidRPr="002628DC">
        <w:rPr>
          <w:rFonts w:ascii="Arial" w:eastAsia="Times New Roman" w:hAnsi="Arial" w:cs="Arial"/>
          <w:color w:val="000000"/>
          <w:sz w:val="23"/>
          <w:szCs w:val="23"/>
          <w:lang w:eastAsia="it-IT"/>
        </w:rPr>
        <w:t>, istituito dalla legge di bilancio per il 2017. In particolare è prevista un’</w:t>
      </w:r>
      <w:r w:rsidRPr="002628DC">
        <w:rPr>
          <w:rFonts w:ascii="Arial" w:eastAsia="Times New Roman" w:hAnsi="Arial" w:cs="Arial"/>
          <w:b/>
          <w:bCs/>
          <w:color w:val="000000"/>
          <w:sz w:val="23"/>
          <w:szCs w:val="23"/>
          <w:lang w:eastAsia="it-IT"/>
        </w:rPr>
        <w:t>integrazione di 200 mila euro, per l’anno in corso</w:t>
      </w:r>
      <w:r w:rsidRPr="002628DC">
        <w:rPr>
          <w:rFonts w:ascii="Arial" w:eastAsia="Times New Roman" w:hAnsi="Arial" w:cs="Arial"/>
          <w:color w:val="000000"/>
          <w:sz w:val="23"/>
          <w:szCs w:val="23"/>
          <w:lang w:eastAsia="it-IT"/>
        </w:rPr>
        <w:t>, e di </w:t>
      </w:r>
      <w:r w:rsidRPr="002628DC">
        <w:rPr>
          <w:rFonts w:ascii="Arial" w:eastAsia="Times New Roman" w:hAnsi="Arial" w:cs="Arial"/>
          <w:b/>
          <w:bCs/>
          <w:color w:val="000000"/>
          <w:sz w:val="23"/>
          <w:szCs w:val="23"/>
          <w:lang w:eastAsia="it-IT"/>
        </w:rPr>
        <w:t>1 milione di euro </w:t>
      </w:r>
      <w:r w:rsidRPr="002628DC">
        <w:rPr>
          <w:rFonts w:ascii="Arial" w:eastAsia="Times New Roman" w:hAnsi="Arial" w:cs="Arial"/>
          <w:color w:val="000000"/>
          <w:sz w:val="23"/>
          <w:szCs w:val="23"/>
          <w:lang w:eastAsia="it-IT"/>
        </w:rPr>
        <w:t>per ciascuno degli </w:t>
      </w:r>
      <w:r w:rsidRPr="002628DC">
        <w:rPr>
          <w:rFonts w:ascii="Arial" w:eastAsia="Times New Roman" w:hAnsi="Arial" w:cs="Arial"/>
          <w:b/>
          <w:bCs/>
          <w:color w:val="000000"/>
          <w:sz w:val="23"/>
          <w:szCs w:val="23"/>
          <w:lang w:eastAsia="it-IT"/>
        </w:rPr>
        <w:t>anni 2021 e 2022.</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L’art. 32 prevede un </w:t>
      </w:r>
      <w:r w:rsidRPr="002628DC">
        <w:rPr>
          <w:rFonts w:ascii="Arial" w:eastAsia="Times New Roman" w:hAnsi="Arial" w:cs="Arial"/>
          <w:b/>
          <w:bCs/>
          <w:color w:val="000000"/>
          <w:sz w:val="23"/>
          <w:szCs w:val="23"/>
          <w:lang w:eastAsia="it-IT"/>
        </w:rPr>
        <w:t>ulteriore finanziamento di 4 milioni di euro annui a decorrere dal 2020, a favore della Scuola sperimentale di dottorato internazionale Gran Sasso Science Institute</w:t>
      </w:r>
      <w:r w:rsidRPr="002628DC">
        <w:rPr>
          <w:rFonts w:ascii="Arial" w:eastAsia="Times New Roman" w:hAnsi="Arial" w:cs="Arial"/>
          <w:color w:val="000000"/>
          <w:sz w:val="23"/>
          <w:szCs w:val="23"/>
          <w:lang w:eastAsia="it-IT"/>
        </w:rPr>
        <w:t>.</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Il contributo in favore della Fondazione «</w:t>
      </w:r>
      <w:r w:rsidRPr="002628DC">
        <w:rPr>
          <w:rFonts w:ascii="Arial" w:eastAsia="Times New Roman" w:hAnsi="Arial" w:cs="Arial"/>
          <w:b/>
          <w:bCs/>
          <w:color w:val="000000"/>
          <w:sz w:val="23"/>
          <w:szCs w:val="23"/>
          <w:lang w:eastAsia="it-IT"/>
        </w:rPr>
        <w:t>I Lincei per la scuola</w:t>
      </w:r>
      <w:r w:rsidRPr="002628DC">
        <w:rPr>
          <w:rFonts w:ascii="Arial" w:eastAsia="Times New Roman" w:hAnsi="Arial" w:cs="Arial"/>
          <w:color w:val="000000"/>
          <w:sz w:val="23"/>
          <w:szCs w:val="23"/>
          <w:lang w:eastAsia="it-IT"/>
        </w:rPr>
        <w:t>» presso l'Accademia nazionale dei Lincei, pari a 250.000 euro, è prorogato per l'anno 2020.</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w:t>
      </w:r>
      <w:r w:rsidRPr="002628DC">
        <w:rPr>
          <w:rFonts w:ascii="Arial" w:eastAsia="Times New Roman" w:hAnsi="Arial" w:cs="Arial"/>
          <w:b/>
          <w:bCs/>
          <w:color w:val="000000"/>
          <w:sz w:val="23"/>
          <w:szCs w:val="23"/>
          <w:lang w:eastAsia="it-IT"/>
        </w:rPr>
        <w:t>articolo 6, comma 5</w:t>
      </w:r>
      <w:r w:rsidRPr="002628DC">
        <w:rPr>
          <w:rFonts w:ascii="Arial" w:eastAsia="Times New Roman" w:hAnsi="Arial" w:cs="Arial"/>
          <w:color w:val="000000"/>
          <w:sz w:val="23"/>
          <w:szCs w:val="23"/>
          <w:lang w:eastAsia="it-IT"/>
        </w:rPr>
        <w:t>, </w:t>
      </w:r>
      <w:r w:rsidRPr="002628DC">
        <w:rPr>
          <w:rFonts w:ascii="Arial" w:eastAsia="Times New Roman" w:hAnsi="Arial" w:cs="Arial"/>
          <w:b/>
          <w:bCs/>
          <w:color w:val="000000"/>
          <w:sz w:val="23"/>
          <w:szCs w:val="23"/>
          <w:lang w:eastAsia="it-IT"/>
        </w:rPr>
        <w:t>proroga </w:t>
      </w:r>
      <w:r w:rsidRPr="002628DC">
        <w:rPr>
          <w:rFonts w:ascii="Arial" w:eastAsia="Times New Roman" w:hAnsi="Arial" w:cs="Arial"/>
          <w:color w:val="000000"/>
          <w:sz w:val="23"/>
          <w:szCs w:val="23"/>
          <w:lang w:eastAsia="it-IT"/>
        </w:rPr>
        <w:t>per il quinquennio </w:t>
      </w:r>
      <w:r w:rsidRPr="002628DC">
        <w:rPr>
          <w:rFonts w:ascii="Arial" w:eastAsia="Times New Roman" w:hAnsi="Arial" w:cs="Arial"/>
          <w:b/>
          <w:bCs/>
          <w:color w:val="000000"/>
          <w:sz w:val="23"/>
          <w:szCs w:val="23"/>
          <w:lang w:eastAsia="it-IT"/>
        </w:rPr>
        <w:t>2021-2025 </w:t>
      </w:r>
      <w:r w:rsidRPr="002628DC">
        <w:rPr>
          <w:rFonts w:ascii="Arial" w:eastAsia="Times New Roman" w:hAnsi="Arial" w:cs="Arial"/>
          <w:color w:val="000000"/>
          <w:sz w:val="23"/>
          <w:szCs w:val="23"/>
          <w:lang w:eastAsia="it-IT"/>
        </w:rPr>
        <w:t>il finanziamento destinato all'Istituto italiano per gli studi storici e all'</w:t>
      </w:r>
      <w:r w:rsidRPr="002628DC">
        <w:rPr>
          <w:rFonts w:ascii="Arial" w:eastAsia="Times New Roman" w:hAnsi="Arial" w:cs="Arial"/>
          <w:b/>
          <w:bCs/>
          <w:color w:val="000000"/>
          <w:sz w:val="23"/>
          <w:szCs w:val="23"/>
          <w:lang w:eastAsia="it-IT"/>
        </w:rPr>
        <w:t>Istituto italiano per gli studi filosofici</w:t>
      </w:r>
      <w:r w:rsidRPr="002628DC">
        <w:rPr>
          <w:rFonts w:ascii="Arial" w:eastAsia="Times New Roman" w:hAnsi="Arial" w:cs="Arial"/>
          <w:color w:val="000000"/>
          <w:sz w:val="23"/>
          <w:szCs w:val="23"/>
          <w:lang w:eastAsia="it-IT"/>
        </w:rPr>
        <w:t>, pari a 2 milioni di euro per ciascuno degli anni dal 2021 al 2025, relativo alle rispettive attività di ricerca e formazione.</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È incrementato di 200.000 euro per l'anno 2020 e di 500.000 euro annui a decorrere dall'anno 2021 il finanziamento dell’istituzione culturale denominata </w:t>
      </w:r>
      <w:r w:rsidRPr="002628DC">
        <w:rPr>
          <w:rFonts w:ascii="Arial" w:eastAsia="Times New Roman" w:hAnsi="Arial" w:cs="Arial"/>
          <w:b/>
          <w:bCs/>
          <w:color w:val="000000"/>
          <w:sz w:val="23"/>
          <w:szCs w:val="23"/>
          <w:lang w:eastAsia="it-IT"/>
        </w:rPr>
        <w:t>Accademia Vivarium novum,</w:t>
      </w:r>
      <w:r w:rsidRPr="002628DC">
        <w:rPr>
          <w:rFonts w:ascii="Arial" w:eastAsia="Times New Roman" w:hAnsi="Arial" w:cs="Arial"/>
          <w:color w:val="000000"/>
          <w:sz w:val="23"/>
          <w:szCs w:val="23"/>
          <w:lang w:eastAsia="it-IT"/>
        </w:rPr>
        <w:t> con sede in Frascati.</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Per la promozione del progetto della </w:t>
      </w:r>
      <w:r w:rsidRPr="002628DC">
        <w:rPr>
          <w:rFonts w:ascii="Arial" w:eastAsia="Times New Roman" w:hAnsi="Arial" w:cs="Arial"/>
          <w:b/>
          <w:bCs/>
          <w:color w:val="000000"/>
          <w:sz w:val="23"/>
          <w:szCs w:val="23"/>
          <w:lang w:eastAsia="it-IT"/>
        </w:rPr>
        <w:t>Scuola europea di industrial engineering and management</w:t>
      </w:r>
      <w:r w:rsidRPr="002628DC">
        <w:rPr>
          <w:rFonts w:ascii="Arial" w:eastAsia="Times New Roman" w:hAnsi="Arial" w:cs="Arial"/>
          <w:color w:val="000000"/>
          <w:sz w:val="23"/>
          <w:szCs w:val="23"/>
          <w:lang w:eastAsia="it-IT"/>
        </w:rPr>
        <w:t xml:space="preserve"> è autorizzata la spesa di 200.000 euro per l'anno 2020 e di 300.000 euro </w:t>
      </w:r>
      <w:r w:rsidRPr="002628DC">
        <w:rPr>
          <w:rFonts w:ascii="Arial" w:eastAsia="Times New Roman" w:hAnsi="Arial" w:cs="Arial"/>
          <w:color w:val="000000"/>
          <w:sz w:val="23"/>
          <w:szCs w:val="23"/>
          <w:lang w:eastAsia="it-IT"/>
        </w:rPr>
        <w:lastRenderedPageBreak/>
        <w:t>per l'anno 2021 per il finanziamento di progetti innovativi di formazione in industrial engineering and management in Italia.</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b/>
          <w:bCs/>
          <w:color w:val="000000"/>
          <w:sz w:val="23"/>
          <w:szCs w:val="23"/>
          <w:lang w:eastAsia="it-IT"/>
        </w:rPr>
        <w:t>L’Autorità garante per l'infanzia e</w:t>
      </w:r>
      <w:r w:rsidRPr="002628DC">
        <w:rPr>
          <w:rFonts w:ascii="Arial" w:eastAsia="Times New Roman" w:hAnsi="Arial" w:cs="Arial"/>
          <w:color w:val="000000"/>
          <w:sz w:val="23"/>
          <w:szCs w:val="23"/>
          <w:lang w:eastAsia="it-IT"/>
        </w:rPr>
        <w:t> </w:t>
      </w:r>
      <w:r w:rsidRPr="002628DC">
        <w:rPr>
          <w:rFonts w:ascii="Arial" w:eastAsia="Times New Roman" w:hAnsi="Arial" w:cs="Arial"/>
          <w:b/>
          <w:bCs/>
          <w:color w:val="000000"/>
          <w:sz w:val="23"/>
          <w:szCs w:val="23"/>
          <w:lang w:eastAsia="it-IT"/>
        </w:rPr>
        <w:t>l'adolescenza</w:t>
      </w:r>
      <w:r w:rsidRPr="002628DC">
        <w:rPr>
          <w:rFonts w:ascii="Arial" w:eastAsia="Times New Roman" w:hAnsi="Arial" w:cs="Arial"/>
          <w:color w:val="000000"/>
          <w:sz w:val="23"/>
          <w:szCs w:val="23"/>
          <w:lang w:eastAsia="it-IT"/>
        </w:rPr>
        <w:t> può utilizzare fino al 2023.  i comandi (10 unità, provenienti da altre Amministrazioni) connessi all'adempimento, anche in sede locale, dei compiti in materia di </w:t>
      </w:r>
      <w:r w:rsidRPr="002628DC">
        <w:rPr>
          <w:rFonts w:ascii="Arial" w:eastAsia="Times New Roman" w:hAnsi="Arial" w:cs="Arial"/>
          <w:b/>
          <w:bCs/>
          <w:color w:val="000000"/>
          <w:sz w:val="23"/>
          <w:szCs w:val="23"/>
          <w:lang w:eastAsia="it-IT"/>
        </w:rPr>
        <w:t>minori stranieri non accompagnati</w:t>
      </w:r>
      <w:r w:rsidRPr="002628DC">
        <w:rPr>
          <w:rFonts w:ascii="Arial" w:eastAsia="Times New Roman" w:hAnsi="Arial" w:cs="Arial"/>
          <w:color w:val="000000"/>
          <w:sz w:val="23"/>
          <w:szCs w:val="23"/>
          <w:lang w:eastAsia="it-IT"/>
        </w:rPr>
        <w:t>. Scadenza precedente: 2020.</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Al fine di promuovere e ampliare l'accesso ai </w:t>
      </w:r>
      <w:r w:rsidRPr="002628DC">
        <w:rPr>
          <w:rFonts w:ascii="Arial" w:eastAsia="Times New Roman" w:hAnsi="Arial" w:cs="Arial"/>
          <w:b/>
          <w:bCs/>
          <w:color w:val="000000"/>
          <w:sz w:val="23"/>
          <w:szCs w:val="23"/>
          <w:lang w:eastAsia="it-IT"/>
        </w:rPr>
        <w:t>prodotti editoriali</w:t>
      </w:r>
      <w:r w:rsidRPr="002628DC">
        <w:rPr>
          <w:rFonts w:ascii="Arial" w:eastAsia="Times New Roman" w:hAnsi="Arial" w:cs="Arial"/>
          <w:color w:val="000000"/>
          <w:sz w:val="23"/>
          <w:szCs w:val="23"/>
          <w:lang w:eastAsia="it-IT"/>
        </w:rPr>
        <w:t> di tutte le categorie deboli, in particolare delle persone con </w:t>
      </w:r>
      <w:r w:rsidRPr="002628DC">
        <w:rPr>
          <w:rFonts w:ascii="Arial" w:eastAsia="Times New Roman" w:hAnsi="Arial" w:cs="Arial"/>
          <w:b/>
          <w:bCs/>
          <w:color w:val="000000"/>
          <w:sz w:val="23"/>
          <w:szCs w:val="23"/>
          <w:lang w:eastAsia="it-IT"/>
        </w:rPr>
        <w:t>disabilità visiva</w:t>
      </w:r>
      <w:r w:rsidRPr="002628DC">
        <w:rPr>
          <w:rFonts w:ascii="Arial" w:eastAsia="Times New Roman" w:hAnsi="Arial" w:cs="Arial"/>
          <w:color w:val="000000"/>
          <w:sz w:val="23"/>
          <w:szCs w:val="23"/>
          <w:lang w:eastAsia="it-IT"/>
        </w:rPr>
        <w:t>, anche attraverso eventi di sensibilizzazione, ricerca sull'accessibilità digitale, corsi di formazione e attività di consulenza, è prorogato per l'anno 2020 il contributo di 200.000 euro in favore della </w:t>
      </w:r>
      <w:r w:rsidRPr="002628DC">
        <w:rPr>
          <w:rFonts w:ascii="Arial" w:eastAsia="Times New Roman" w:hAnsi="Arial" w:cs="Arial"/>
          <w:b/>
          <w:bCs/>
          <w:color w:val="000000"/>
          <w:sz w:val="23"/>
          <w:szCs w:val="23"/>
          <w:lang w:eastAsia="it-IT"/>
        </w:rPr>
        <w:t>Fondazione Libri Italiani Accessibili</w:t>
      </w:r>
      <w:r w:rsidRPr="002628DC">
        <w:rPr>
          <w:rFonts w:ascii="Arial" w:eastAsia="Times New Roman" w:hAnsi="Arial" w:cs="Arial"/>
          <w:color w:val="000000"/>
          <w:sz w:val="23"/>
          <w:szCs w:val="23"/>
          <w:lang w:eastAsia="it-IT"/>
        </w:rPr>
        <w:t> – LIA.</w:t>
      </w:r>
    </w:p>
    <w:p w:rsidR="002628DC" w:rsidRPr="002628DC" w:rsidRDefault="002628DC" w:rsidP="002628DC">
      <w:pPr>
        <w:numPr>
          <w:ilvl w:val="0"/>
          <w:numId w:val="13"/>
        </w:numPr>
        <w:shd w:val="clear" w:color="auto" w:fill="FFFFFF"/>
        <w:spacing w:after="150"/>
        <w:ind w:left="375"/>
        <w:rPr>
          <w:rFonts w:ascii="Arial" w:eastAsia="Times New Roman" w:hAnsi="Arial" w:cs="Arial"/>
          <w:color w:val="000000"/>
          <w:sz w:val="23"/>
          <w:szCs w:val="23"/>
          <w:lang w:eastAsia="it-IT"/>
        </w:rPr>
      </w:pPr>
      <w:r w:rsidRPr="002628DC">
        <w:rPr>
          <w:rFonts w:ascii="Arial" w:eastAsia="Times New Roman" w:hAnsi="Arial" w:cs="Arial"/>
          <w:color w:val="000000"/>
          <w:sz w:val="23"/>
          <w:szCs w:val="23"/>
          <w:lang w:eastAsia="it-IT"/>
        </w:rPr>
        <w:t>Le attività e gli organismi promotori delle </w:t>
      </w:r>
      <w:r w:rsidRPr="002628DC">
        <w:rPr>
          <w:rFonts w:ascii="Arial" w:eastAsia="Times New Roman" w:hAnsi="Arial" w:cs="Arial"/>
          <w:b/>
          <w:bCs/>
          <w:color w:val="000000"/>
          <w:sz w:val="23"/>
          <w:szCs w:val="23"/>
          <w:lang w:eastAsia="it-IT"/>
        </w:rPr>
        <w:t>celebrazioni della ricorrenza dei duemila anni dalla morte di Ovidio</w:t>
      </w:r>
      <w:r w:rsidRPr="002628DC">
        <w:rPr>
          <w:rFonts w:ascii="Arial" w:eastAsia="Times New Roman" w:hAnsi="Arial" w:cs="Arial"/>
          <w:color w:val="000000"/>
          <w:sz w:val="23"/>
          <w:szCs w:val="23"/>
          <w:lang w:eastAsia="it-IT"/>
        </w:rPr>
        <w:t> sono prorogati fino al 2020.</w:t>
      </w:r>
    </w:p>
    <w:p w:rsidR="002628DC" w:rsidRPr="002628DC" w:rsidRDefault="002628DC" w:rsidP="002628DC">
      <w:pPr>
        <w:spacing w:after="0"/>
        <w:ind w:left="0" w:firstLine="0"/>
        <w:outlineLvl w:val="1"/>
        <w:rPr>
          <w:rFonts w:ascii="Arial" w:eastAsia="Times New Roman" w:hAnsi="Arial" w:cs="Arial"/>
          <w:color w:val="FFFFFF"/>
          <w:sz w:val="24"/>
          <w:szCs w:val="24"/>
          <w:lang w:eastAsia="it-IT"/>
        </w:rPr>
      </w:pPr>
      <w:r w:rsidRPr="002628DC">
        <w:rPr>
          <w:rFonts w:ascii="Arial" w:eastAsia="Times New Roman" w:hAnsi="Arial" w:cs="Arial"/>
          <w:color w:val="FFFFFF"/>
          <w:sz w:val="24"/>
          <w:szCs w:val="24"/>
          <w:lang w:eastAsia="it-IT"/>
        </w:rPr>
        <w:t>Servizi e comunicazioni</w:t>
      </w:r>
    </w:p>
    <w:p w:rsidR="002628DC" w:rsidRPr="002628DC" w:rsidRDefault="002628DC" w:rsidP="002628DC">
      <w:pPr>
        <w:shd w:val="clear" w:color="auto" w:fill="FFFFFF"/>
        <w:spacing w:after="150"/>
        <w:ind w:left="0" w:firstLine="0"/>
        <w:rPr>
          <w:rFonts w:ascii="Arial" w:eastAsia="Times New Roman" w:hAnsi="Arial" w:cs="Arial"/>
          <w:color w:val="000000"/>
          <w:sz w:val="21"/>
          <w:szCs w:val="21"/>
          <w:lang w:eastAsia="it-IT"/>
        </w:rPr>
      </w:pPr>
      <w:r w:rsidRPr="002628DC">
        <w:rPr>
          <w:rFonts w:ascii="Arial" w:eastAsia="Times New Roman" w:hAnsi="Arial" w:cs="Arial"/>
          <w:color w:val="000000"/>
          <w:sz w:val="21"/>
          <w:szCs w:val="21"/>
          <w:lang w:eastAsia="it-IT"/>
        </w:rPr>
        <w:t>   </w:t>
      </w:r>
    </w:p>
    <w:p w:rsidR="002628DC" w:rsidRPr="002628DC" w:rsidRDefault="002628DC" w:rsidP="002628DC">
      <w:pPr>
        <w:spacing w:after="0"/>
        <w:ind w:left="0" w:firstLine="0"/>
        <w:outlineLvl w:val="1"/>
        <w:rPr>
          <w:rFonts w:ascii="Arial" w:eastAsia="Times New Roman" w:hAnsi="Arial" w:cs="Arial"/>
          <w:color w:val="FFFFFF"/>
          <w:sz w:val="24"/>
          <w:szCs w:val="24"/>
          <w:lang w:eastAsia="it-IT"/>
        </w:rPr>
      </w:pPr>
      <w:r w:rsidRPr="002628DC">
        <w:rPr>
          <w:rFonts w:ascii="Arial" w:eastAsia="Times New Roman" w:hAnsi="Arial" w:cs="Arial"/>
          <w:color w:val="FFFFFF"/>
          <w:sz w:val="24"/>
          <w:szCs w:val="24"/>
          <w:lang w:eastAsia="it-IT"/>
        </w:rPr>
        <w:t>I più letti</w:t>
      </w:r>
    </w:p>
    <w:sectPr w:rsidR="002628DC" w:rsidRPr="002628DC"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68AF"/>
    <w:multiLevelType w:val="multilevel"/>
    <w:tmpl w:val="BFE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27FFD"/>
    <w:multiLevelType w:val="multilevel"/>
    <w:tmpl w:val="A67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F413E"/>
    <w:multiLevelType w:val="multilevel"/>
    <w:tmpl w:val="76F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00D07"/>
    <w:multiLevelType w:val="multilevel"/>
    <w:tmpl w:val="DF94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21B07"/>
    <w:multiLevelType w:val="multilevel"/>
    <w:tmpl w:val="0C60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314E6"/>
    <w:multiLevelType w:val="multilevel"/>
    <w:tmpl w:val="E8B6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83458"/>
    <w:multiLevelType w:val="multilevel"/>
    <w:tmpl w:val="AEF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65EF2"/>
    <w:multiLevelType w:val="multilevel"/>
    <w:tmpl w:val="5508A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362E96"/>
    <w:multiLevelType w:val="multilevel"/>
    <w:tmpl w:val="DCF6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42658F"/>
    <w:multiLevelType w:val="multilevel"/>
    <w:tmpl w:val="E8D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2AD3"/>
    <w:multiLevelType w:val="multilevel"/>
    <w:tmpl w:val="1F8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985092"/>
    <w:multiLevelType w:val="multilevel"/>
    <w:tmpl w:val="73A86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60130C"/>
    <w:multiLevelType w:val="multilevel"/>
    <w:tmpl w:val="D5C0A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3345D9"/>
    <w:multiLevelType w:val="multilevel"/>
    <w:tmpl w:val="B3B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82082B"/>
    <w:multiLevelType w:val="multilevel"/>
    <w:tmpl w:val="27D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3C0FC6"/>
    <w:multiLevelType w:val="multilevel"/>
    <w:tmpl w:val="B4C6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FE0E84"/>
    <w:multiLevelType w:val="multilevel"/>
    <w:tmpl w:val="10609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D6D00C7"/>
    <w:multiLevelType w:val="multilevel"/>
    <w:tmpl w:val="DCC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7"/>
  </w:num>
  <w:num w:numId="4">
    <w:abstractNumId w:val="17"/>
  </w:num>
  <w:num w:numId="5">
    <w:abstractNumId w:val="6"/>
  </w:num>
  <w:num w:numId="6">
    <w:abstractNumId w:val="12"/>
  </w:num>
  <w:num w:numId="7">
    <w:abstractNumId w:val="16"/>
  </w:num>
  <w:num w:numId="8">
    <w:abstractNumId w:val="14"/>
  </w:num>
  <w:num w:numId="9">
    <w:abstractNumId w:val="0"/>
  </w:num>
  <w:num w:numId="10">
    <w:abstractNumId w:val="9"/>
  </w:num>
  <w:num w:numId="11">
    <w:abstractNumId w:val="15"/>
  </w:num>
  <w:num w:numId="12">
    <w:abstractNumId w:val="8"/>
  </w:num>
  <w:num w:numId="13">
    <w:abstractNumId w:val="13"/>
  </w:num>
  <w:num w:numId="14">
    <w:abstractNumId w:val="5"/>
  </w:num>
  <w:num w:numId="15">
    <w:abstractNumId w:val="10"/>
  </w:num>
  <w:num w:numId="16">
    <w:abstractNumId w:val="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DC"/>
    <w:rsid w:val="000B1086"/>
    <w:rsid w:val="000D104A"/>
    <w:rsid w:val="002628DC"/>
    <w:rsid w:val="00313979"/>
    <w:rsid w:val="00404621"/>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628D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2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628D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2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564">
      <w:bodyDiv w:val="1"/>
      <w:marLeft w:val="0"/>
      <w:marRight w:val="0"/>
      <w:marTop w:val="0"/>
      <w:marBottom w:val="0"/>
      <w:divBdr>
        <w:top w:val="none" w:sz="0" w:space="0" w:color="auto"/>
        <w:left w:val="none" w:sz="0" w:space="0" w:color="auto"/>
        <w:bottom w:val="none" w:sz="0" w:space="0" w:color="auto"/>
        <w:right w:val="none" w:sz="0" w:space="0" w:color="auto"/>
      </w:divBdr>
      <w:divsChild>
        <w:div w:id="897013328">
          <w:marLeft w:val="300"/>
          <w:marRight w:val="300"/>
          <w:marTop w:val="0"/>
          <w:marBottom w:val="0"/>
          <w:divBdr>
            <w:top w:val="none" w:sz="0" w:space="0" w:color="auto"/>
            <w:left w:val="none" w:sz="0" w:space="0" w:color="auto"/>
            <w:bottom w:val="none" w:sz="0" w:space="0" w:color="auto"/>
            <w:right w:val="none" w:sz="0" w:space="0" w:color="auto"/>
          </w:divBdr>
          <w:divsChild>
            <w:div w:id="164639465">
              <w:marLeft w:val="0"/>
              <w:marRight w:val="0"/>
              <w:marTop w:val="0"/>
              <w:marBottom w:val="0"/>
              <w:divBdr>
                <w:top w:val="none" w:sz="0" w:space="0" w:color="auto"/>
                <w:left w:val="none" w:sz="0" w:space="0" w:color="auto"/>
                <w:bottom w:val="none" w:sz="0" w:space="0" w:color="auto"/>
                <w:right w:val="none" w:sz="0" w:space="0" w:color="auto"/>
              </w:divBdr>
              <w:divsChild>
                <w:div w:id="797723144">
                  <w:marLeft w:val="0"/>
                  <w:marRight w:val="0"/>
                  <w:marTop w:val="75"/>
                  <w:marBottom w:val="150"/>
                  <w:divBdr>
                    <w:top w:val="none" w:sz="0" w:space="0" w:color="auto"/>
                    <w:left w:val="none" w:sz="0" w:space="0" w:color="auto"/>
                    <w:bottom w:val="none" w:sz="0" w:space="0" w:color="auto"/>
                    <w:right w:val="none" w:sz="0" w:space="0" w:color="auto"/>
                  </w:divBdr>
                </w:div>
                <w:div w:id="2103255271">
                  <w:marLeft w:val="0"/>
                  <w:marRight w:val="0"/>
                  <w:marTop w:val="0"/>
                  <w:marBottom w:val="0"/>
                  <w:divBdr>
                    <w:top w:val="none" w:sz="0" w:space="0" w:color="auto"/>
                    <w:left w:val="none" w:sz="0" w:space="0" w:color="auto"/>
                    <w:bottom w:val="none" w:sz="0" w:space="0" w:color="auto"/>
                    <w:right w:val="none" w:sz="0" w:space="0" w:color="auto"/>
                  </w:divBdr>
                  <w:divsChild>
                    <w:div w:id="764111458">
                      <w:marLeft w:val="0"/>
                      <w:marRight w:val="0"/>
                      <w:marTop w:val="0"/>
                      <w:marBottom w:val="0"/>
                      <w:divBdr>
                        <w:top w:val="none" w:sz="0" w:space="0" w:color="auto"/>
                        <w:left w:val="none" w:sz="0" w:space="0" w:color="auto"/>
                        <w:bottom w:val="none" w:sz="0" w:space="0" w:color="auto"/>
                        <w:right w:val="none" w:sz="0" w:space="0" w:color="auto"/>
                      </w:divBdr>
                    </w:div>
                    <w:div w:id="1772239659">
                      <w:marLeft w:val="300"/>
                      <w:marRight w:val="150"/>
                      <w:marTop w:val="75"/>
                      <w:marBottom w:val="0"/>
                      <w:divBdr>
                        <w:top w:val="none" w:sz="0" w:space="0" w:color="auto"/>
                        <w:left w:val="none" w:sz="0" w:space="0" w:color="auto"/>
                        <w:bottom w:val="none" w:sz="0" w:space="0" w:color="auto"/>
                        <w:right w:val="none" w:sz="0" w:space="0" w:color="auto"/>
                      </w:divBdr>
                    </w:div>
                    <w:div w:id="1979648354">
                      <w:marLeft w:val="300"/>
                      <w:marRight w:val="150"/>
                      <w:marTop w:val="75"/>
                      <w:marBottom w:val="0"/>
                      <w:divBdr>
                        <w:top w:val="none" w:sz="0" w:space="0" w:color="auto"/>
                        <w:left w:val="none" w:sz="0" w:space="0" w:color="auto"/>
                        <w:bottom w:val="none" w:sz="0" w:space="0" w:color="auto"/>
                        <w:right w:val="none" w:sz="0" w:space="0" w:color="auto"/>
                      </w:divBdr>
                    </w:div>
                  </w:divsChild>
                </w:div>
                <w:div w:id="1914004894">
                  <w:marLeft w:val="0"/>
                  <w:marRight w:val="0"/>
                  <w:marTop w:val="150"/>
                  <w:marBottom w:val="0"/>
                  <w:divBdr>
                    <w:top w:val="none" w:sz="0" w:space="0" w:color="auto"/>
                    <w:left w:val="none" w:sz="0" w:space="0" w:color="auto"/>
                    <w:bottom w:val="none" w:sz="0" w:space="0" w:color="auto"/>
                    <w:right w:val="none" w:sz="0" w:space="0" w:color="auto"/>
                  </w:divBdr>
                  <w:divsChild>
                    <w:div w:id="12965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00853">
          <w:marLeft w:val="0"/>
          <w:marRight w:val="0"/>
          <w:marTop w:val="0"/>
          <w:marBottom w:val="0"/>
          <w:divBdr>
            <w:top w:val="none" w:sz="0" w:space="0" w:color="auto"/>
            <w:left w:val="none" w:sz="0" w:space="0" w:color="auto"/>
            <w:bottom w:val="none" w:sz="0" w:space="0" w:color="auto"/>
            <w:right w:val="none" w:sz="0" w:space="0" w:color="auto"/>
          </w:divBdr>
          <w:divsChild>
            <w:div w:id="2120178541">
              <w:marLeft w:val="0"/>
              <w:marRight w:val="0"/>
              <w:marTop w:val="0"/>
              <w:marBottom w:val="0"/>
              <w:divBdr>
                <w:top w:val="none" w:sz="0" w:space="0" w:color="auto"/>
                <w:left w:val="none" w:sz="0" w:space="0" w:color="auto"/>
                <w:bottom w:val="single" w:sz="6" w:space="8" w:color="D9D9D9"/>
                <w:right w:val="none" w:sz="0" w:space="0" w:color="auto"/>
              </w:divBdr>
              <w:divsChild>
                <w:div w:id="1381440904">
                  <w:marLeft w:val="150"/>
                  <w:marRight w:val="150"/>
                  <w:marTop w:val="0"/>
                  <w:marBottom w:val="150"/>
                  <w:divBdr>
                    <w:top w:val="none" w:sz="0" w:space="0" w:color="auto"/>
                    <w:left w:val="none" w:sz="0" w:space="0" w:color="auto"/>
                    <w:bottom w:val="none" w:sz="0" w:space="0" w:color="auto"/>
                    <w:right w:val="none" w:sz="0" w:space="0" w:color="auto"/>
                  </w:divBdr>
                </w:div>
              </w:divsChild>
            </w:div>
            <w:div w:id="644547942">
              <w:marLeft w:val="0"/>
              <w:marRight w:val="0"/>
              <w:marTop w:val="0"/>
              <w:marBottom w:val="0"/>
              <w:divBdr>
                <w:top w:val="none" w:sz="0" w:space="0" w:color="auto"/>
                <w:left w:val="none" w:sz="0" w:space="0" w:color="auto"/>
                <w:bottom w:val="single" w:sz="6" w:space="8" w:color="D9D9D9"/>
                <w:right w:val="none" w:sz="0" w:space="0" w:color="auto"/>
              </w:divBdr>
              <w:divsChild>
                <w:div w:id="338430290">
                  <w:marLeft w:val="150"/>
                  <w:marRight w:val="150"/>
                  <w:marTop w:val="0"/>
                  <w:marBottom w:val="150"/>
                  <w:divBdr>
                    <w:top w:val="none" w:sz="0" w:space="0" w:color="auto"/>
                    <w:left w:val="none" w:sz="0" w:space="0" w:color="auto"/>
                    <w:bottom w:val="none" w:sz="0" w:space="0" w:color="auto"/>
                    <w:right w:val="none" w:sz="0" w:space="0" w:color="auto"/>
                  </w:divBdr>
                </w:div>
              </w:divsChild>
            </w:div>
            <w:div w:id="864247882">
              <w:marLeft w:val="0"/>
              <w:marRight w:val="0"/>
              <w:marTop w:val="0"/>
              <w:marBottom w:val="150"/>
              <w:divBdr>
                <w:top w:val="none" w:sz="0" w:space="0" w:color="auto"/>
                <w:left w:val="none" w:sz="0" w:space="0" w:color="auto"/>
                <w:bottom w:val="none" w:sz="0" w:space="0" w:color="auto"/>
                <w:right w:val="none" w:sz="0" w:space="0" w:color="auto"/>
              </w:divBdr>
            </w:div>
            <w:div w:id="99379220">
              <w:marLeft w:val="0"/>
              <w:marRight w:val="0"/>
              <w:marTop w:val="0"/>
              <w:marBottom w:val="0"/>
              <w:divBdr>
                <w:top w:val="none" w:sz="0" w:space="0" w:color="auto"/>
                <w:left w:val="none" w:sz="0" w:space="0" w:color="auto"/>
                <w:bottom w:val="none" w:sz="0" w:space="0" w:color="auto"/>
                <w:right w:val="none" w:sz="0" w:space="0" w:color="auto"/>
              </w:divBdr>
            </w:div>
            <w:div w:id="919220343">
              <w:marLeft w:val="0"/>
              <w:marRight w:val="0"/>
              <w:marTop w:val="0"/>
              <w:marBottom w:val="0"/>
              <w:divBdr>
                <w:top w:val="none" w:sz="0" w:space="0" w:color="auto"/>
                <w:left w:val="none" w:sz="0" w:space="0" w:color="auto"/>
                <w:bottom w:val="single" w:sz="6" w:space="8" w:color="D9D9D9"/>
                <w:right w:val="none" w:sz="0" w:space="0" w:color="auto"/>
              </w:divBdr>
              <w:divsChild>
                <w:div w:id="53554831">
                  <w:marLeft w:val="150"/>
                  <w:marRight w:val="150"/>
                  <w:marTop w:val="0"/>
                  <w:marBottom w:val="150"/>
                  <w:divBdr>
                    <w:top w:val="none" w:sz="0" w:space="0" w:color="auto"/>
                    <w:left w:val="none" w:sz="0" w:space="0" w:color="auto"/>
                    <w:bottom w:val="none" w:sz="0" w:space="0" w:color="auto"/>
                    <w:right w:val="none" w:sz="0" w:space="0" w:color="auto"/>
                  </w:divBdr>
                </w:div>
              </w:divsChild>
            </w:div>
            <w:div w:id="1014116723">
              <w:marLeft w:val="0"/>
              <w:marRight w:val="0"/>
              <w:marTop w:val="0"/>
              <w:marBottom w:val="0"/>
              <w:divBdr>
                <w:top w:val="none" w:sz="0" w:space="0" w:color="auto"/>
                <w:left w:val="none" w:sz="0" w:space="0" w:color="auto"/>
                <w:bottom w:val="single" w:sz="6" w:space="8" w:color="D9D9D9"/>
                <w:right w:val="none" w:sz="0" w:space="0" w:color="auto"/>
              </w:divBdr>
              <w:divsChild>
                <w:div w:id="1370036411">
                  <w:marLeft w:val="150"/>
                  <w:marRight w:val="150"/>
                  <w:marTop w:val="0"/>
                  <w:marBottom w:val="150"/>
                  <w:divBdr>
                    <w:top w:val="none" w:sz="0" w:space="0" w:color="auto"/>
                    <w:left w:val="none" w:sz="0" w:space="0" w:color="auto"/>
                    <w:bottom w:val="none" w:sz="0" w:space="0" w:color="auto"/>
                    <w:right w:val="none" w:sz="0" w:space="0" w:color="auto"/>
                  </w:divBdr>
                </w:div>
              </w:divsChild>
            </w:div>
            <w:div w:id="1496651844">
              <w:marLeft w:val="0"/>
              <w:marRight w:val="0"/>
              <w:marTop w:val="0"/>
              <w:marBottom w:val="0"/>
              <w:divBdr>
                <w:top w:val="none" w:sz="0" w:space="0" w:color="auto"/>
                <w:left w:val="none" w:sz="0" w:space="0" w:color="auto"/>
                <w:bottom w:val="none" w:sz="0" w:space="0" w:color="auto"/>
                <w:right w:val="none" w:sz="0" w:space="0" w:color="auto"/>
              </w:divBdr>
              <w:divsChild>
                <w:div w:id="1270238339">
                  <w:marLeft w:val="0"/>
                  <w:marRight w:val="0"/>
                  <w:marTop w:val="150"/>
                  <w:marBottom w:val="0"/>
                  <w:divBdr>
                    <w:top w:val="none" w:sz="0" w:space="0" w:color="auto"/>
                    <w:left w:val="none" w:sz="0" w:space="0" w:color="auto"/>
                    <w:bottom w:val="dotted" w:sz="6" w:space="3" w:color="D9D9D9"/>
                    <w:right w:val="none" w:sz="0" w:space="0" w:color="auto"/>
                  </w:divBdr>
                  <w:divsChild>
                    <w:div w:id="665977491">
                      <w:marLeft w:val="0"/>
                      <w:marRight w:val="120"/>
                      <w:marTop w:val="0"/>
                      <w:marBottom w:val="0"/>
                      <w:divBdr>
                        <w:top w:val="none" w:sz="0" w:space="0" w:color="auto"/>
                        <w:left w:val="none" w:sz="0" w:space="0" w:color="auto"/>
                        <w:bottom w:val="none" w:sz="0" w:space="0" w:color="auto"/>
                        <w:right w:val="none" w:sz="0" w:space="0" w:color="auto"/>
                      </w:divBdr>
                    </w:div>
                    <w:div w:id="1334837290">
                      <w:marLeft w:val="0"/>
                      <w:marRight w:val="0"/>
                      <w:marTop w:val="0"/>
                      <w:marBottom w:val="0"/>
                      <w:divBdr>
                        <w:top w:val="none" w:sz="0" w:space="0" w:color="auto"/>
                        <w:left w:val="none" w:sz="0" w:space="0" w:color="auto"/>
                        <w:bottom w:val="none" w:sz="0" w:space="0" w:color="auto"/>
                        <w:right w:val="none" w:sz="0" w:space="0" w:color="auto"/>
                      </w:divBdr>
                    </w:div>
                  </w:divsChild>
                </w:div>
                <w:div w:id="1397625183">
                  <w:marLeft w:val="0"/>
                  <w:marRight w:val="0"/>
                  <w:marTop w:val="150"/>
                  <w:marBottom w:val="0"/>
                  <w:divBdr>
                    <w:top w:val="none" w:sz="0" w:space="0" w:color="auto"/>
                    <w:left w:val="none" w:sz="0" w:space="0" w:color="auto"/>
                    <w:bottom w:val="dotted" w:sz="6" w:space="3" w:color="D9D9D9"/>
                    <w:right w:val="none" w:sz="0" w:space="0" w:color="auto"/>
                  </w:divBdr>
                  <w:divsChild>
                    <w:div w:id="1837762503">
                      <w:marLeft w:val="0"/>
                      <w:marRight w:val="120"/>
                      <w:marTop w:val="0"/>
                      <w:marBottom w:val="0"/>
                      <w:divBdr>
                        <w:top w:val="none" w:sz="0" w:space="0" w:color="auto"/>
                        <w:left w:val="none" w:sz="0" w:space="0" w:color="auto"/>
                        <w:bottom w:val="none" w:sz="0" w:space="0" w:color="auto"/>
                        <w:right w:val="none" w:sz="0" w:space="0" w:color="auto"/>
                      </w:divBdr>
                    </w:div>
                    <w:div w:id="1518040171">
                      <w:marLeft w:val="0"/>
                      <w:marRight w:val="0"/>
                      <w:marTop w:val="0"/>
                      <w:marBottom w:val="0"/>
                      <w:divBdr>
                        <w:top w:val="none" w:sz="0" w:space="0" w:color="auto"/>
                        <w:left w:val="none" w:sz="0" w:space="0" w:color="auto"/>
                        <w:bottom w:val="none" w:sz="0" w:space="0" w:color="auto"/>
                        <w:right w:val="none" w:sz="0" w:space="0" w:color="auto"/>
                      </w:divBdr>
                    </w:div>
                  </w:divsChild>
                </w:div>
                <w:div w:id="2062754158">
                  <w:marLeft w:val="0"/>
                  <w:marRight w:val="0"/>
                  <w:marTop w:val="150"/>
                  <w:marBottom w:val="0"/>
                  <w:divBdr>
                    <w:top w:val="none" w:sz="0" w:space="0" w:color="auto"/>
                    <w:left w:val="none" w:sz="0" w:space="0" w:color="auto"/>
                    <w:bottom w:val="dotted" w:sz="6" w:space="3" w:color="D9D9D9"/>
                    <w:right w:val="none" w:sz="0" w:space="0" w:color="auto"/>
                  </w:divBdr>
                  <w:divsChild>
                    <w:div w:id="1849979523">
                      <w:marLeft w:val="0"/>
                      <w:marRight w:val="120"/>
                      <w:marTop w:val="0"/>
                      <w:marBottom w:val="0"/>
                      <w:divBdr>
                        <w:top w:val="none" w:sz="0" w:space="0" w:color="auto"/>
                        <w:left w:val="none" w:sz="0" w:space="0" w:color="auto"/>
                        <w:bottom w:val="none" w:sz="0" w:space="0" w:color="auto"/>
                        <w:right w:val="none" w:sz="0" w:space="0" w:color="auto"/>
                      </w:divBdr>
                    </w:div>
                    <w:div w:id="825516913">
                      <w:marLeft w:val="0"/>
                      <w:marRight w:val="0"/>
                      <w:marTop w:val="0"/>
                      <w:marBottom w:val="0"/>
                      <w:divBdr>
                        <w:top w:val="none" w:sz="0" w:space="0" w:color="auto"/>
                        <w:left w:val="none" w:sz="0" w:space="0" w:color="auto"/>
                        <w:bottom w:val="none" w:sz="0" w:space="0" w:color="auto"/>
                        <w:right w:val="none" w:sz="0" w:space="0" w:color="auto"/>
                      </w:divBdr>
                    </w:div>
                  </w:divsChild>
                </w:div>
                <w:div w:id="1696349774">
                  <w:marLeft w:val="0"/>
                  <w:marRight w:val="0"/>
                  <w:marTop w:val="150"/>
                  <w:marBottom w:val="0"/>
                  <w:divBdr>
                    <w:top w:val="none" w:sz="0" w:space="0" w:color="auto"/>
                    <w:left w:val="none" w:sz="0" w:space="0" w:color="auto"/>
                    <w:bottom w:val="dotted" w:sz="6" w:space="3" w:color="D9D9D9"/>
                    <w:right w:val="none" w:sz="0" w:space="0" w:color="auto"/>
                  </w:divBdr>
                  <w:divsChild>
                    <w:div w:id="2062705951">
                      <w:marLeft w:val="0"/>
                      <w:marRight w:val="120"/>
                      <w:marTop w:val="0"/>
                      <w:marBottom w:val="0"/>
                      <w:divBdr>
                        <w:top w:val="none" w:sz="0" w:space="0" w:color="auto"/>
                        <w:left w:val="none" w:sz="0" w:space="0" w:color="auto"/>
                        <w:bottom w:val="none" w:sz="0" w:space="0" w:color="auto"/>
                        <w:right w:val="none" w:sz="0" w:space="0" w:color="auto"/>
                      </w:divBdr>
                    </w:div>
                    <w:div w:id="20478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741">
              <w:marLeft w:val="0"/>
              <w:marRight w:val="0"/>
              <w:marTop w:val="0"/>
              <w:marBottom w:val="0"/>
              <w:divBdr>
                <w:top w:val="none" w:sz="0" w:space="0" w:color="auto"/>
                <w:left w:val="none" w:sz="0" w:space="0" w:color="auto"/>
                <w:bottom w:val="none" w:sz="0" w:space="0" w:color="auto"/>
                <w:right w:val="none" w:sz="0" w:space="0" w:color="auto"/>
              </w:divBdr>
            </w:div>
            <w:div w:id="1956013429">
              <w:marLeft w:val="0"/>
              <w:marRight w:val="0"/>
              <w:marTop w:val="0"/>
              <w:marBottom w:val="0"/>
              <w:divBdr>
                <w:top w:val="none" w:sz="0" w:space="0" w:color="auto"/>
                <w:left w:val="none" w:sz="0" w:space="0" w:color="auto"/>
                <w:bottom w:val="none" w:sz="0" w:space="0" w:color="auto"/>
                <w:right w:val="none" w:sz="0" w:space="0" w:color="auto"/>
              </w:divBdr>
              <w:divsChild>
                <w:div w:id="2025941189">
                  <w:marLeft w:val="0"/>
                  <w:marRight w:val="0"/>
                  <w:marTop w:val="0"/>
                  <w:marBottom w:val="0"/>
                  <w:divBdr>
                    <w:top w:val="none" w:sz="0" w:space="0" w:color="auto"/>
                    <w:left w:val="none" w:sz="0" w:space="0" w:color="auto"/>
                    <w:bottom w:val="single" w:sz="6" w:space="8" w:color="D9D9D9"/>
                    <w:right w:val="none" w:sz="0" w:space="0" w:color="auto"/>
                  </w:divBdr>
                </w:div>
              </w:divsChild>
            </w:div>
            <w:div w:id="1860964813">
              <w:marLeft w:val="0"/>
              <w:marRight w:val="0"/>
              <w:marTop w:val="0"/>
              <w:marBottom w:val="0"/>
              <w:divBdr>
                <w:top w:val="none" w:sz="0" w:space="0" w:color="auto"/>
                <w:left w:val="none" w:sz="0" w:space="0" w:color="auto"/>
                <w:bottom w:val="single" w:sz="6" w:space="8" w:color="D9D9D9"/>
                <w:right w:val="none" w:sz="0" w:space="0" w:color="auto"/>
              </w:divBdr>
            </w:div>
            <w:div w:id="1292205931">
              <w:marLeft w:val="0"/>
              <w:marRight w:val="0"/>
              <w:marTop w:val="0"/>
              <w:marBottom w:val="0"/>
              <w:divBdr>
                <w:top w:val="none" w:sz="0" w:space="0" w:color="auto"/>
                <w:left w:val="none" w:sz="0" w:space="0" w:color="auto"/>
                <w:bottom w:val="single" w:sz="6" w:space="8" w:color="D9D9D9"/>
                <w:right w:val="none" w:sz="0" w:space="0" w:color="auto"/>
              </w:divBdr>
            </w:div>
          </w:divsChild>
        </w:div>
        <w:div w:id="598024489">
          <w:marLeft w:val="0"/>
          <w:marRight w:val="0"/>
          <w:marTop w:val="0"/>
          <w:marBottom w:val="0"/>
          <w:divBdr>
            <w:top w:val="none" w:sz="0" w:space="0" w:color="auto"/>
            <w:left w:val="none" w:sz="0" w:space="0" w:color="auto"/>
            <w:bottom w:val="none" w:sz="0" w:space="0" w:color="auto"/>
            <w:right w:val="none" w:sz="0" w:space="0" w:color="auto"/>
          </w:divBdr>
          <w:divsChild>
            <w:div w:id="266281534">
              <w:marLeft w:val="27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cgil.it/leggi-normative/documenti/decreti-legislativi/decreto-legislativo-62-del-13-aprile-2017-valutazione-e-certificazione-delle-competenze-nel-primo-ciclo-ed-esami-di-stato.fl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lcgil.it/leggi-normative/documenti/decreti-legge/decreto-legge-126-del-29-ottobre-2019-testo-coordinato-misure-urgenti-reclutamento-e-abilitazione-per-la-scuola-e-la-ricerca.flc" TargetMode="External"/><Relationship Id="rId12" Type="http://schemas.openxmlformats.org/officeDocument/2006/relationships/hyperlink" Target="http://www.flcgil.it/leggi-normative/documenti/decreti-legislativi/decreto-legislativo-75-del-25-maggio-2017-riorganizzazione-delle-amministrazioni-pubbliche.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cgil.it/leggi-normative/documenti/decreti-legge/decreto-legge-162-del-30-dicembre-2019-disposizioni-urgenti-in-materia-di-proroga-di-termini-legislativi-di-organizzazione-delle-pubbliche-amministrazioni-nonche-di-innovazione-tecnologica-milleproroghe.flc" TargetMode="External"/><Relationship Id="rId11" Type="http://schemas.openxmlformats.org/officeDocument/2006/relationships/hyperlink" Target="http://www.flcgil.it/leggi-normative/documenti/leggi/legge-145-del-30-dicembre-2018-bilancio-di-previsione-stato-anno-finanziario-2019-e-bilancio-pluriennale-triennio-2019-2021.flc" TargetMode="External"/><Relationship Id="rId5" Type="http://schemas.openxmlformats.org/officeDocument/2006/relationships/webSettings" Target="webSettings.xml"/><Relationship Id="rId10" Type="http://schemas.openxmlformats.org/officeDocument/2006/relationships/hyperlink" Target="http://www.flcgil.it/leggi-normative/documenti/leggi/legge-107-del-13-luglio-2015-riforma-della-scuola.flc" TargetMode="External"/><Relationship Id="rId4" Type="http://schemas.openxmlformats.org/officeDocument/2006/relationships/settings" Target="settings.xml"/><Relationship Id="rId9" Type="http://schemas.openxmlformats.org/officeDocument/2006/relationships/hyperlink" Target="http://www.flcgil.it/leggi-normative/documenti/leggi/legge-107-del-13-luglio-2015-riforma-della-scuola.fl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3453</Words>
  <Characters>19687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2020-02-19T15:49:00Z</dcterms:created>
  <dcterms:modified xsi:type="dcterms:W3CDTF">2020-02-19T16:08:00Z</dcterms:modified>
</cp:coreProperties>
</file>