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0F" w:rsidRPr="00017C0F" w:rsidRDefault="00017C0F" w:rsidP="00017C0F">
      <w:pPr>
        <w:shd w:val="clear" w:color="auto" w:fill="FFFFFF"/>
        <w:ind w:left="0" w:firstLine="0"/>
        <w:outlineLvl w:val="1"/>
        <w:rPr>
          <w:rFonts w:ascii="Helvetica" w:eastAsia="Times New Roman" w:hAnsi="Helvetica" w:cs="Helvetica"/>
          <w:color w:val="1C2024"/>
          <w:spacing w:val="-1"/>
          <w:sz w:val="54"/>
          <w:szCs w:val="54"/>
          <w:lang w:eastAsia="it-IT"/>
        </w:rPr>
      </w:pPr>
      <w:r w:rsidRPr="00017C0F">
        <w:rPr>
          <w:rFonts w:ascii="Helvetica" w:eastAsia="Times New Roman" w:hAnsi="Helvetica" w:cs="Helvetica"/>
          <w:color w:val="1C2024"/>
          <w:spacing w:val="-1"/>
          <w:sz w:val="54"/>
          <w:szCs w:val="54"/>
          <w:lang w:eastAsia="it-IT"/>
        </w:rPr>
        <w:t>MaturitàVentiVenti</w:t>
      </w:r>
      <w:r w:rsidRPr="00017C0F">
        <w:rPr>
          <w:rFonts w:ascii="Helvetica" w:eastAsia="Times New Roman" w:hAnsi="Helvetica" w:cs="Helvetica"/>
          <w:color w:val="1C2024"/>
          <w:spacing w:val="-1"/>
          <w:sz w:val="54"/>
          <w:szCs w:val="54"/>
          <w:lang w:eastAsia="it-IT"/>
        </w:rPr>
        <w:br/>
        <w:t>La Ministra Azzolina annuncia le materie della seconda prova</w:t>
      </w:r>
      <w:r w:rsidRPr="00017C0F">
        <w:rPr>
          <w:rFonts w:ascii="Helvetica" w:eastAsia="Times New Roman" w:hAnsi="Helvetica" w:cs="Helvetica"/>
          <w:color w:val="1C2024"/>
          <w:spacing w:val="-1"/>
          <w:sz w:val="54"/>
          <w:szCs w:val="54"/>
          <w:lang w:eastAsia="it-IT"/>
        </w:rPr>
        <w:br/>
        <w:t>Da oggi sul sito del Ministero dell’Istruzione l’elenco completo</w:t>
      </w:r>
    </w:p>
    <w:p w:rsidR="00017C0F" w:rsidRPr="00017C0F" w:rsidRDefault="00017C0F" w:rsidP="00017C0F">
      <w:pPr>
        <w:pBdr>
          <w:right w:val="single" w:sz="6" w:space="15" w:color="DBDBD6"/>
        </w:pBdr>
        <w:shd w:val="clear" w:color="auto" w:fill="FFFFFF"/>
        <w:spacing w:after="0"/>
        <w:ind w:left="0" w:firstLine="0"/>
        <w:rPr>
          <w:rFonts w:ascii="Titillium Web" w:eastAsia="Times New Roman" w:hAnsi="Titillium Web" w:cs="Times New Roman"/>
          <w:color w:val="5A6772"/>
          <w:sz w:val="23"/>
          <w:szCs w:val="23"/>
          <w:lang w:eastAsia="it-IT"/>
        </w:rPr>
      </w:pPr>
      <w:r w:rsidRPr="00017C0F">
        <w:rPr>
          <w:rFonts w:ascii="Titillium Web" w:eastAsia="Times New Roman" w:hAnsi="Titillium Web" w:cs="Times New Roman"/>
          <w:color w:val="5A6772"/>
          <w:sz w:val="23"/>
          <w:szCs w:val="23"/>
          <w:lang w:eastAsia="it-IT"/>
        </w:rPr>
        <w:t>Giovedì, 30 gennaio 2020</w:t>
      </w:r>
    </w:p>
    <w:p w:rsidR="00017C0F" w:rsidRPr="00017C0F" w:rsidRDefault="00017C0F" w:rsidP="00017C0F">
      <w:pPr>
        <w:shd w:val="clear" w:color="auto" w:fill="FFFFFF"/>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noProof/>
          <w:color w:val="0066CC"/>
          <w:sz w:val="27"/>
          <w:szCs w:val="27"/>
          <w:lang w:eastAsia="it-IT"/>
        </w:rPr>
        <mc:AlternateContent>
          <mc:Choice Requires="wps">
            <w:drawing>
              <wp:inline distT="0" distB="0" distL="0" distR="0" wp14:anchorId="5D06686C" wp14:editId="59E0E261">
                <wp:extent cx="304800" cy="304800"/>
                <wp:effectExtent l="0" t="0" r="0" b="0"/>
                <wp:docPr id="1" name="AutoShape 1" descr="http://visualizzamaterieesame.static.istruzione.it/from-homepage/comunicato/cs30012020_file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visualizzamaterieesame.static.istruzione.it/from-homepage/comunicato/cs30012020_files/stampa.svg" href="http://visualizzamaterieesame.static.istruzione.it/from-homepage/comunicato/cs300120.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" o:button="t" filled="f" stroked="f">
                <v:fill o:detectmouseclick="t"/>
                <o:lock v:ext="edit" aspectratio="t"/>
                <w10:anchorlock/>
              </v:rect>
            </w:pict>
          </mc:Fallback>
        </mc:AlternateContent>
      </w:r>
    </w:p>
    <w:p w:rsidR="00017C0F" w:rsidRPr="00017C0F" w:rsidRDefault="00017C0F" w:rsidP="00017C0F">
      <w:pPr>
        <w:shd w:val="clear" w:color="auto" w:fill="FFFFFF"/>
        <w:spacing w:after="375"/>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L’attesa per le studentesse e gli studenti è finita. Da oggi sul sito del Ministero dell’Istruzione è disponibile, infatti, l’elenco completo delle materie che saranno oggetto della seconda prova scritta dell’Esame della Scuola secondaria di secondo grado.</w:t>
      </w:r>
    </w:p>
    <w:p w:rsidR="00017C0F" w:rsidRPr="00017C0F" w:rsidRDefault="00017C0F" w:rsidP="00017C0F">
      <w:pPr>
        <w:shd w:val="clear" w:color="auto" w:fill="FFFFFF"/>
        <w:spacing w:after="0"/>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La responsabile dell’Istruzione, </w:t>
      </w:r>
      <w:r w:rsidRPr="00017C0F">
        <w:rPr>
          <w:rFonts w:ascii="Helvetica" w:eastAsia="Times New Roman" w:hAnsi="Helvetica" w:cs="Helvetica"/>
          <w:color w:val="333333"/>
          <w:sz w:val="27"/>
          <w:szCs w:val="27"/>
          <w:lang w:eastAsia="it-IT"/>
        </w:rPr>
        <w:t>Lucia Azzolina</w:t>
      </w:r>
      <w:r w:rsidRPr="00017C0F">
        <w:rPr>
          <w:rFonts w:ascii="Titillium Web" w:eastAsia="Times New Roman" w:hAnsi="Titillium Web" w:cs="Times New Roman"/>
          <w:color w:val="333333"/>
          <w:sz w:val="27"/>
          <w:szCs w:val="27"/>
          <w:lang w:eastAsia="it-IT"/>
        </w:rPr>
        <w:t>, ha annunciato le materie attraverso il profilo Instagram del Ministero. #MaturitàVentiVenti sarà l’hashtag che accompagnerà sui social, da oggi e fino alla fine degli Esami, le comunicazioni rivolte agli studenti che avranno l’obiettivo di chiarire ogni aspetto dell’Esame, ma anche di fornire suggerimenti utili per lo studio.</w:t>
      </w:r>
    </w:p>
    <w:p w:rsidR="00017C0F" w:rsidRPr="00017C0F" w:rsidRDefault="00017C0F" w:rsidP="00017C0F">
      <w:pPr>
        <w:shd w:val="clear" w:color="auto" w:fill="FFFFFF"/>
        <w:spacing w:after="0"/>
        <w:ind w:left="0" w:firstLine="0"/>
        <w:rPr>
          <w:rFonts w:ascii="Titillium Web" w:eastAsia="Times New Roman" w:hAnsi="Titillium Web" w:cs="Times New Roman"/>
          <w:color w:val="333333"/>
          <w:sz w:val="27"/>
          <w:szCs w:val="27"/>
          <w:lang w:eastAsia="it-IT"/>
        </w:rPr>
      </w:pPr>
      <w:r w:rsidRPr="00017C0F">
        <w:rPr>
          <w:rFonts w:ascii="Helvetica" w:eastAsia="Times New Roman" w:hAnsi="Helvetica" w:cs="Helvetica"/>
          <w:color w:val="333333"/>
          <w:sz w:val="27"/>
          <w:szCs w:val="27"/>
          <w:lang w:eastAsia="it-IT"/>
        </w:rPr>
        <w:t>Le materie</w:t>
      </w:r>
      <w:r w:rsidRPr="00017C0F">
        <w:rPr>
          <w:rFonts w:ascii="Titillium Web" w:eastAsia="Times New Roman" w:hAnsi="Titillium Web" w:cs="Times New Roman"/>
          <w:color w:val="333333"/>
          <w:sz w:val="27"/>
          <w:szCs w:val="27"/>
          <w:lang w:eastAsia="it-IT"/>
        </w:rPr>
        <w:br/>
        <w:t>Le materie del secondo scritto annunciate oggi sono state scelte fra quelle caratterizzanti ciascun percorso di studi. La prova anche quest’anno, come già nel 2019, sarà multidisciplinare, fatta eccezione per i corsi di studio che hanno una sola disciplina caratterizzante.</w:t>
      </w:r>
    </w:p>
    <w:p w:rsidR="00017C0F" w:rsidRPr="00017C0F" w:rsidRDefault="00017C0F" w:rsidP="00017C0F">
      <w:pPr>
        <w:shd w:val="clear" w:color="auto" w:fill="FFFFFF"/>
        <w:spacing w:after="375"/>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“Ragazze e ragazzi, eccoci qui, oggi è il giorno in cui conoscerete esattamente le materie della seconda prova. So che le aspettavate con impazienza perché mi avete scritto in tantissimi. Voglio essere io personalmente a dirvi quali saranno alcune di queste materie, le altre le troverete sul sito del Ministero dell’Istruzione”. Così si apre il video della Ministra rivolto agli studenti.</w:t>
      </w:r>
    </w:p>
    <w:p w:rsidR="00017C0F" w:rsidRPr="00017C0F" w:rsidRDefault="00017C0F" w:rsidP="00017C0F">
      <w:pPr>
        <w:shd w:val="clear" w:color="auto" w:fill="FFFFFF"/>
        <w:spacing w:after="0"/>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“Per una volta voglio cominciare dai Professionali”, sottolinea Azzolina,  che poi elenca le principali discipline. Per l’indirizzo </w:t>
      </w:r>
      <w:r w:rsidRPr="00017C0F">
        <w:rPr>
          <w:rFonts w:ascii="Helvetica" w:eastAsia="Times New Roman" w:hAnsi="Helvetica" w:cs="Helvetica"/>
          <w:color w:val="333333"/>
          <w:sz w:val="27"/>
          <w:szCs w:val="27"/>
          <w:lang w:eastAsia="it-IT"/>
        </w:rPr>
        <w:t>Enogastronomia e ospitalità alberghiera</w:t>
      </w:r>
      <w:r w:rsidRPr="00017C0F">
        <w:rPr>
          <w:rFonts w:ascii="Titillium Web" w:eastAsia="Times New Roman" w:hAnsi="Titillium Web" w:cs="Times New Roman"/>
          <w:color w:val="333333"/>
          <w:sz w:val="27"/>
          <w:szCs w:val="27"/>
          <w:lang w:eastAsia="it-IT"/>
        </w:rPr>
        <w:t>, articolazione Enogastronomia, le materie della seconda prova saranno Laboratorio di servizi enogastronomici-cucina e Scienza e cultura dell’alimentazione. All’Istituto per i </w:t>
      </w:r>
      <w:r w:rsidRPr="00017C0F">
        <w:rPr>
          <w:rFonts w:ascii="Helvetica" w:eastAsia="Times New Roman" w:hAnsi="Helvetica" w:cs="Helvetica"/>
          <w:color w:val="333333"/>
          <w:sz w:val="27"/>
          <w:szCs w:val="27"/>
          <w:lang w:eastAsia="it-IT"/>
        </w:rPr>
        <w:t>Servizi per l’agricoltura</w:t>
      </w:r>
      <w:r w:rsidRPr="00017C0F">
        <w:rPr>
          <w:rFonts w:ascii="Titillium Web" w:eastAsia="Times New Roman" w:hAnsi="Titillium Web" w:cs="Times New Roman"/>
          <w:color w:val="333333"/>
          <w:sz w:val="27"/>
          <w:szCs w:val="27"/>
          <w:lang w:eastAsia="it-IT"/>
        </w:rPr>
        <w:t>, i ragazzi avranno Valorizzazione delle attività produttive e legislazione di settore ed Economia agraria e dello sviluppo territoriale. Al </w:t>
      </w:r>
      <w:r w:rsidRPr="00017C0F">
        <w:rPr>
          <w:rFonts w:ascii="Helvetica" w:eastAsia="Times New Roman" w:hAnsi="Helvetica" w:cs="Helvetica"/>
          <w:color w:val="333333"/>
          <w:sz w:val="27"/>
          <w:szCs w:val="27"/>
          <w:lang w:eastAsia="it-IT"/>
        </w:rPr>
        <w:t>Tecnico</w:t>
      </w:r>
      <w:r w:rsidRPr="00017C0F">
        <w:rPr>
          <w:rFonts w:ascii="Titillium Web" w:eastAsia="Times New Roman" w:hAnsi="Titillium Web" w:cs="Times New Roman"/>
          <w:color w:val="333333"/>
          <w:sz w:val="27"/>
          <w:szCs w:val="27"/>
          <w:lang w:eastAsia="it-IT"/>
        </w:rPr>
        <w:t> per il </w:t>
      </w:r>
      <w:r w:rsidRPr="00017C0F">
        <w:rPr>
          <w:rFonts w:ascii="Helvetica" w:eastAsia="Times New Roman" w:hAnsi="Helvetica" w:cs="Helvetica"/>
          <w:color w:val="333333"/>
          <w:sz w:val="27"/>
          <w:szCs w:val="27"/>
          <w:lang w:eastAsia="it-IT"/>
        </w:rPr>
        <w:t>Turismo</w:t>
      </w:r>
      <w:r w:rsidRPr="00017C0F">
        <w:rPr>
          <w:rFonts w:ascii="Titillium Web" w:eastAsia="Times New Roman" w:hAnsi="Titillium Web" w:cs="Times New Roman"/>
          <w:color w:val="333333"/>
          <w:sz w:val="27"/>
          <w:szCs w:val="27"/>
          <w:lang w:eastAsia="it-IT"/>
        </w:rPr>
        <w:t> ci saranno Discipline turistiche e aziendali e Lingua inglese. Al </w:t>
      </w:r>
      <w:r w:rsidRPr="00017C0F">
        <w:rPr>
          <w:rFonts w:ascii="Helvetica" w:eastAsia="Times New Roman" w:hAnsi="Helvetica" w:cs="Helvetica"/>
          <w:color w:val="333333"/>
          <w:sz w:val="27"/>
          <w:szCs w:val="27"/>
          <w:lang w:eastAsia="it-IT"/>
        </w:rPr>
        <w:t>Tecnico</w:t>
      </w:r>
      <w:r w:rsidRPr="00017C0F">
        <w:rPr>
          <w:rFonts w:ascii="Titillium Web" w:eastAsia="Times New Roman" w:hAnsi="Titillium Web" w:cs="Times New Roman"/>
          <w:color w:val="333333"/>
          <w:sz w:val="27"/>
          <w:szCs w:val="27"/>
          <w:lang w:eastAsia="it-IT"/>
        </w:rPr>
        <w:t> indirizzo </w:t>
      </w:r>
      <w:r w:rsidRPr="00017C0F">
        <w:rPr>
          <w:rFonts w:ascii="Helvetica" w:eastAsia="Times New Roman" w:hAnsi="Helvetica" w:cs="Helvetica"/>
          <w:color w:val="333333"/>
          <w:sz w:val="27"/>
          <w:szCs w:val="27"/>
          <w:lang w:eastAsia="it-IT"/>
        </w:rPr>
        <w:t>Informatica</w:t>
      </w:r>
      <w:r w:rsidRPr="00017C0F">
        <w:rPr>
          <w:rFonts w:ascii="Titillium Web" w:eastAsia="Times New Roman" w:hAnsi="Titillium Web" w:cs="Times New Roman"/>
          <w:color w:val="333333"/>
          <w:sz w:val="27"/>
          <w:szCs w:val="27"/>
          <w:lang w:eastAsia="it-IT"/>
        </w:rPr>
        <w:t>, Sistemi e reti e Informatica.</w:t>
      </w:r>
    </w:p>
    <w:p w:rsidR="00017C0F" w:rsidRPr="00017C0F" w:rsidRDefault="00017C0F" w:rsidP="00017C0F">
      <w:pPr>
        <w:shd w:val="clear" w:color="auto" w:fill="FFFFFF"/>
        <w:spacing w:after="0"/>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Per il </w:t>
      </w:r>
      <w:r w:rsidRPr="00017C0F">
        <w:rPr>
          <w:rFonts w:ascii="Helvetica" w:eastAsia="Times New Roman" w:hAnsi="Helvetica" w:cs="Helvetica"/>
          <w:color w:val="333333"/>
          <w:sz w:val="27"/>
          <w:szCs w:val="27"/>
          <w:lang w:eastAsia="it-IT"/>
        </w:rPr>
        <w:t>Liceo scientifico</w:t>
      </w:r>
      <w:r w:rsidRPr="00017C0F">
        <w:rPr>
          <w:rFonts w:ascii="Titillium Web" w:eastAsia="Times New Roman" w:hAnsi="Titillium Web" w:cs="Times New Roman"/>
          <w:color w:val="333333"/>
          <w:sz w:val="27"/>
          <w:szCs w:val="27"/>
          <w:lang w:eastAsia="it-IT"/>
        </w:rPr>
        <w:t>, le materie saranno Matematica e Fisica. Per il </w:t>
      </w:r>
      <w:r w:rsidRPr="00017C0F">
        <w:rPr>
          <w:rFonts w:ascii="Helvetica" w:eastAsia="Times New Roman" w:hAnsi="Helvetica" w:cs="Helvetica"/>
          <w:color w:val="333333"/>
          <w:sz w:val="27"/>
          <w:szCs w:val="27"/>
          <w:lang w:eastAsia="it-IT"/>
        </w:rPr>
        <w:t>Classico</w:t>
      </w:r>
      <w:r w:rsidRPr="00017C0F">
        <w:rPr>
          <w:rFonts w:ascii="Titillium Web" w:eastAsia="Times New Roman" w:hAnsi="Titillium Web" w:cs="Times New Roman"/>
          <w:color w:val="333333"/>
          <w:sz w:val="27"/>
          <w:szCs w:val="27"/>
          <w:lang w:eastAsia="it-IT"/>
        </w:rPr>
        <w:t>, Greco e Latino. Al </w:t>
      </w:r>
      <w:r w:rsidRPr="00017C0F">
        <w:rPr>
          <w:rFonts w:ascii="Helvetica" w:eastAsia="Times New Roman" w:hAnsi="Helvetica" w:cs="Helvetica"/>
          <w:color w:val="333333"/>
          <w:sz w:val="27"/>
          <w:szCs w:val="27"/>
          <w:lang w:eastAsia="it-IT"/>
        </w:rPr>
        <w:t>Liceo delle Scienze umane</w:t>
      </w:r>
      <w:r w:rsidRPr="00017C0F">
        <w:rPr>
          <w:rFonts w:ascii="Titillium Web" w:eastAsia="Times New Roman" w:hAnsi="Titillium Web" w:cs="Times New Roman"/>
          <w:color w:val="333333"/>
          <w:sz w:val="27"/>
          <w:szCs w:val="27"/>
          <w:lang w:eastAsia="it-IT"/>
        </w:rPr>
        <w:t>, opzione Economico-sociale, ci saranno Diritto ed Economia politica e Scienze umane.  </w:t>
      </w:r>
    </w:p>
    <w:p w:rsidR="00017C0F" w:rsidRPr="00017C0F" w:rsidRDefault="00017C0F" w:rsidP="00017C0F">
      <w:pPr>
        <w:shd w:val="clear" w:color="auto" w:fill="FFFFFF"/>
        <w:spacing w:after="375"/>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lastRenderedPageBreak/>
        <w:t>“Per conoscere tutte le altre materie collegatevi con il nostro sito dove trovate anche le prime informazioni sulla prova orale”, prosegue la Ministra. Quest’anno, infatti, non ci sarà, all’inizio del colloquio, il sorteggio fra tre buste, previsto invece lo scorso anno per dare avvio alla prova: “La vostra commissione - spiega Azzolina - predisporrà il materiale da cui far partire il vostro orale che valorizzerà al massimo il vostro percorso di studi”.</w:t>
      </w:r>
    </w:p>
    <w:p w:rsidR="00017C0F" w:rsidRPr="00017C0F" w:rsidRDefault="00017C0F" w:rsidP="00017C0F">
      <w:pPr>
        <w:shd w:val="clear" w:color="auto" w:fill="FFFFFF"/>
        <w:spacing w:after="375"/>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Il colloquio sarà pluridisciplinare. Ciascuna commissione predisporrà, come spiegato dalla Ministra, i materiali di partenza da sottoporre agli studenti (potranno essere un testo, un documento, un’esperienza, un progetto, un problema). Il lavoro dei commissari si baserà su quanto studiato dai ‘maturandi’ nel loro percorso: farà fede il documento predisposto dai docenti di classe. Niente sorteggio fra le buste, dunque. Al momento dell’inizio della prova, la commissione sottoporrà uno spunto al candidato, che rappresenterà, comunque, solo un momento di avvio del colloquio.</w:t>
      </w:r>
    </w:p>
    <w:p w:rsidR="00017C0F" w:rsidRPr="00017C0F" w:rsidRDefault="00017C0F" w:rsidP="00017C0F">
      <w:pPr>
        <w:shd w:val="clear" w:color="auto" w:fill="FFFFFF"/>
        <w:spacing w:after="375"/>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Il Ministero nei prossimi giorni pubblicherà ulteriori materiali, anche pensati per i canali social, per rispondere alle domande che gli studenti stanno ponendo alla Ministra, scrivendole su Facebook e Instagram.</w:t>
      </w:r>
    </w:p>
    <w:p w:rsidR="00017C0F" w:rsidRPr="00017C0F" w:rsidRDefault="00017C0F" w:rsidP="00017C0F">
      <w:pPr>
        <w:shd w:val="clear" w:color="auto" w:fill="FFFFFF"/>
        <w:spacing w:after="375"/>
        <w:ind w:left="0" w:firstLine="0"/>
        <w:rPr>
          <w:rFonts w:ascii="Titillium Web" w:eastAsia="Times New Roman" w:hAnsi="Titillium Web" w:cs="Times New Roman"/>
          <w:color w:val="333333"/>
          <w:sz w:val="27"/>
          <w:szCs w:val="27"/>
          <w:lang w:eastAsia="it-IT"/>
        </w:rPr>
      </w:pPr>
      <w:r w:rsidRPr="00017C0F">
        <w:rPr>
          <w:rFonts w:ascii="Titillium Web" w:eastAsia="Times New Roman" w:hAnsi="Titillium Web" w:cs="Times New Roman"/>
          <w:color w:val="333333"/>
          <w:sz w:val="27"/>
          <w:szCs w:val="27"/>
          <w:lang w:eastAsia="it-IT"/>
        </w:rPr>
        <w:t>Nel decreto pubblicato oggi sono individuate anche le materie affidate ai commissari esterni.</w:t>
      </w:r>
    </w:p>
    <w:p w:rsidR="00017C0F" w:rsidRPr="00017C0F" w:rsidRDefault="00017C0F" w:rsidP="00017C0F">
      <w:pPr>
        <w:numPr>
          <w:ilvl w:val="0"/>
          <w:numId w:val="1"/>
        </w:numPr>
        <w:shd w:val="clear" w:color="auto" w:fill="FFFFFF"/>
        <w:spacing w:after="0"/>
        <w:ind w:left="0"/>
        <w:rPr>
          <w:rFonts w:ascii="Titillium Web" w:eastAsia="Times New Roman" w:hAnsi="Titillium Web" w:cs="Times New Roman"/>
          <w:color w:val="333333"/>
          <w:sz w:val="27"/>
          <w:szCs w:val="27"/>
          <w:lang w:eastAsia="it-IT"/>
        </w:rPr>
      </w:pPr>
      <w:hyperlink r:id="rId7" w:tgtFrame="_blank" w:history="1">
        <w:r w:rsidRPr="00017C0F">
          <w:rPr>
            <w:rFonts w:ascii="Helvetica" w:eastAsia="Times New Roman" w:hAnsi="Helvetica" w:cs="Helvetica"/>
            <w:color w:val="0066CC"/>
            <w:sz w:val="27"/>
            <w:szCs w:val="27"/>
            <w:lang w:eastAsia="it-IT"/>
          </w:rPr>
          <w:t>Il motore di ricerca delle materie</w:t>
        </w:r>
      </w:hyperlink>
    </w:p>
    <w:p w:rsidR="00017C0F" w:rsidRPr="00017C0F" w:rsidRDefault="00017C0F" w:rsidP="00017C0F">
      <w:pPr>
        <w:numPr>
          <w:ilvl w:val="0"/>
          <w:numId w:val="2"/>
        </w:numPr>
        <w:shd w:val="clear" w:color="auto" w:fill="FFFFFF"/>
        <w:spacing w:after="0"/>
        <w:ind w:left="0"/>
        <w:rPr>
          <w:rFonts w:ascii="Titillium Web" w:eastAsia="Times New Roman" w:hAnsi="Titillium Web" w:cs="Times New Roman"/>
          <w:color w:val="333333"/>
          <w:sz w:val="27"/>
          <w:szCs w:val="27"/>
          <w:lang w:eastAsia="it-IT"/>
        </w:rPr>
      </w:pPr>
      <w:hyperlink r:id="rId8" w:history="1">
        <w:r w:rsidRPr="00017C0F">
          <w:rPr>
            <w:rFonts w:ascii="Helvetica" w:eastAsia="Times New Roman" w:hAnsi="Helvetica" w:cs="Helvetica"/>
            <w:color w:val="0066CC"/>
            <w:sz w:val="27"/>
            <w:szCs w:val="27"/>
            <w:lang w:eastAsia="it-IT"/>
          </w:rPr>
          <w:t>D.M. 28 del 30 gennaio 2020</w:t>
        </w:r>
      </w:hyperlink>
    </w:p>
    <w:p w:rsidR="00017C0F" w:rsidRPr="00017C0F" w:rsidRDefault="00017C0F" w:rsidP="00017C0F">
      <w:pPr>
        <w:numPr>
          <w:ilvl w:val="0"/>
          <w:numId w:val="2"/>
        </w:numPr>
        <w:shd w:val="clear" w:color="auto" w:fill="FFFFFF"/>
        <w:spacing w:after="0"/>
        <w:ind w:left="0"/>
        <w:rPr>
          <w:rFonts w:ascii="Titillium Web" w:eastAsia="Times New Roman" w:hAnsi="Titillium Web" w:cs="Times New Roman"/>
          <w:color w:val="333333"/>
          <w:sz w:val="27"/>
          <w:szCs w:val="27"/>
          <w:lang w:eastAsia="it-IT"/>
        </w:rPr>
      </w:pPr>
      <w:hyperlink r:id="rId9" w:history="1">
        <w:r w:rsidRPr="00017C0F">
          <w:rPr>
            <w:rFonts w:ascii="Helvetica" w:eastAsia="Times New Roman" w:hAnsi="Helvetica" w:cs="Helvetica"/>
            <w:color w:val="0066CC"/>
            <w:sz w:val="27"/>
            <w:szCs w:val="27"/>
            <w:lang w:eastAsia="it-IT"/>
          </w:rPr>
          <w:t>Allegato 1 Liceo</w:t>
        </w:r>
      </w:hyperlink>
    </w:p>
    <w:p w:rsidR="00017C0F" w:rsidRPr="00017C0F" w:rsidRDefault="00017C0F" w:rsidP="00017C0F">
      <w:pPr>
        <w:numPr>
          <w:ilvl w:val="0"/>
          <w:numId w:val="2"/>
        </w:numPr>
        <w:shd w:val="clear" w:color="auto" w:fill="FFFFFF"/>
        <w:spacing w:after="0"/>
        <w:ind w:left="0"/>
        <w:rPr>
          <w:rFonts w:ascii="Titillium Web" w:eastAsia="Times New Roman" w:hAnsi="Titillium Web" w:cs="Times New Roman"/>
          <w:color w:val="333333"/>
          <w:sz w:val="27"/>
          <w:szCs w:val="27"/>
          <w:lang w:eastAsia="it-IT"/>
        </w:rPr>
      </w:pPr>
      <w:hyperlink r:id="rId10" w:history="1">
        <w:r w:rsidRPr="00017C0F">
          <w:rPr>
            <w:rFonts w:ascii="Helvetica" w:eastAsia="Times New Roman" w:hAnsi="Helvetica" w:cs="Helvetica"/>
            <w:color w:val="0066CC"/>
            <w:sz w:val="27"/>
            <w:szCs w:val="27"/>
            <w:lang w:eastAsia="it-IT"/>
          </w:rPr>
          <w:t>Allegato 2 Istituto Tecnico</w:t>
        </w:r>
      </w:hyperlink>
    </w:p>
    <w:p w:rsidR="00017C0F" w:rsidRPr="00017C0F" w:rsidRDefault="00017C0F" w:rsidP="00017C0F">
      <w:pPr>
        <w:numPr>
          <w:ilvl w:val="0"/>
          <w:numId w:val="2"/>
        </w:numPr>
        <w:shd w:val="clear" w:color="auto" w:fill="FFFFFF"/>
        <w:spacing w:after="0"/>
        <w:ind w:left="0"/>
        <w:rPr>
          <w:rFonts w:ascii="Titillium Web" w:eastAsia="Times New Roman" w:hAnsi="Titillium Web" w:cs="Times New Roman"/>
          <w:color w:val="333333"/>
          <w:sz w:val="27"/>
          <w:szCs w:val="27"/>
          <w:lang w:eastAsia="it-IT"/>
        </w:rPr>
      </w:pPr>
      <w:hyperlink r:id="rId11" w:history="1">
        <w:r w:rsidRPr="00017C0F">
          <w:rPr>
            <w:rFonts w:ascii="Helvetica" w:eastAsia="Times New Roman" w:hAnsi="Helvetica" w:cs="Helvetica"/>
            <w:color w:val="0066CC"/>
            <w:sz w:val="27"/>
            <w:szCs w:val="27"/>
            <w:lang w:eastAsia="it-IT"/>
          </w:rPr>
          <w:t>Allegato 3 Istituto Professionale</w:t>
        </w:r>
      </w:hyperlink>
    </w:p>
    <w:p w:rsidR="00017C0F" w:rsidRPr="00017C0F" w:rsidRDefault="00017C0F" w:rsidP="00017C0F">
      <w:pPr>
        <w:numPr>
          <w:ilvl w:val="0"/>
          <w:numId w:val="2"/>
        </w:numPr>
        <w:shd w:val="clear" w:color="auto" w:fill="FFFFFF"/>
        <w:ind w:left="0"/>
        <w:rPr>
          <w:rFonts w:ascii="Titillium Web" w:eastAsia="Times New Roman" w:hAnsi="Titillium Web" w:cs="Times New Roman"/>
          <w:color w:val="333333"/>
          <w:sz w:val="27"/>
          <w:szCs w:val="27"/>
          <w:lang w:eastAsia="it-IT"/>
        </w:rPr>
      </w:pPr>
      <w:hyperlink r:id="rId12" w:history="1">
        <w:r w:rsidRPr="00017C0F">
          <w:rPr>
            <w:rFonts w:ascii="Helvetica" w:eastAsia="Times New Roman" w:hAnsi="Helvetica" w:cs="Helvetica"/>
            <w:color w:val="0066CC"/>
            <w:sz w:val="27"/>
            <w:szCs w:val="27"/>
            <w:lang w:eastAsia="it-IT"/>
          </w:rPr>
          <w:t>Allegato 4 Lingua slovena</w:t>
        </w:r>
      </w:hyperlink>
    </w:p>
    <w:p w:rsidR="00C5004E" w:rsidRDefault="003D408C">
      <w:bookmarkStart w:id="0" w:name="_GoBack"/>
      <w:bookmarkEnd w:id="0"/>
    </w:p>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5575D"/>
    <w:multiLevelType w:val="multilevel"/>
    <w:tmpl w:val="9D3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F564B"/>
    <w:multiLevelType w:val="multilevel"/>
    <w:tmpl w:val="7572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0F"/>
    <w:rsid w:val="00017C0F"/>
    <w:rsid w:val="000B1086"/>
    <w:rsid w:val="000D104A"/>
    <w:rsid w:val="00313979"/>
    <w:rsid w:val="003D408C"/>
    <w:rsid w:val="00404621"/>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645615">
      <w:bodyDiv w:val="1"/>
      <w:marLeft w:val="0"/>
      <w:marRight w:val="0"/>
      <w:marTop w:val="0"/>
      <w:marBottom w:val="0"/>
      <w:divBdr>
        <w:top w:val="none" w:sz="0" w:space="0" w:color="auto"/>
        <w:left w:val="none" w:sz="0" w:space="0" w:color="auto"/>
        <w:bottom w:val="none" w:sz="0" w:space="0" w:color="auto"/>
        <w:right w:val="none" w:sz="0" w:space="0" w:color="auto"/>
      </w:divBdr>
      <w:divsChild>
        <w:div w:id="756947452">
          <w:marLeft w:val="0"/>
          <w:marRight w:val="0"/>
          <w:marTop w:val="0"/>
          <w:marBottom w:val="300"/>
          <w:divBdr>
            <w:top w:val="none" w:sz="0" w:space="0" w:color="auto"/>
            <w:left w:val="none" w:sz="0" w:space="0" w:color="auto"/>
            <w:bottom w:val="none" w:sz="0" w:space="0" w:color="auto"/>
            <w:right w:val="none" w:sz="0" w:space="0" w:color="auto"/>
          </w:divBdr>
        </w:div>
        <w:div w:id="2067214130">
          <w:marLeft w:val="0"/>
          <w:marRight w:val="0"/>
          <w:marTop w:val="0"/>
          <w:marBottom w:val="300"/>
          <w:divBdr>
            <w:top w:val="single" w:sz="6" w:space="3" w:color="DBDBD6"/>
            <w:left w:val="none" w:sz="0" w:space="0" w:color="auto"/>
            <w:bottom w:val="single" w:sz="6" w:space="3" w:color="DBDBD6"/>
            <w:right w:val="none" w:sz="0" w:space="0" w:color="auto"/>
          </w:divBdr>
          <w:divsChild>
            <w:div w:id="1869172191">
              <w:marLeft w:val="0"/>
              <w:marRight w:val="0"/>
              <w:marTop w:val="0"/>
              <w:marBottom w:val="0"/>
              <w:divBdr>
                <w:top w:val="none" w:sz="0" w:space="0" w:color="auto"/>
                <w:left w:val="single" w:sz="6" w:space="8" w:color="DBDBD6"/>
                <w:bottom w:val="none" w:sz="0" w:space="0" w:color="auto"/>
                <w:right w:val="none" w:sz="0" w:space="0" w:color="auto"/>
              </w:divBdr>
            </w:div>
          </w:divsChild>
        </w:div>
        <w:div w:id="70440479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ualizzamaterieesame.static.istruzione.it/from-homepage/comunicato/D.M.%2028%20del%2030%20gennaio%202020.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sualizzamaterieesame.static.istruzione.it/ricerca.html" TargetMode="External"/><Relationship Id="rId12" Type="http://schemas.openxmlformats.org/officeDocument/2006/relationships/hyperlink" Target="http://visualizzamaterieesame.static.istruzione.it/from-homepage/comunicato/Allegato%204%20Lingua%20slove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sualizzamaterieesame.static.istruzione.it/from-homepage/comunicato/cs300120.html" TargetMode="External"/><Relationship Id="rId11" Type="http://schemas.openxmlformats.org/officeDocument/2006/relationships/hyperlink" Target="http://visualizzamaterieesame.static.istruzione.it/from-homepage/comunicato/Allegato%203%20Istituto%20Professionale.pdf" TargetMode="External"/><Relationship Id="rId5" Type="http://schemas.openxmlformats.org/officeDocument/2006/relationships/webSettings" Target="webSettings.xml"/><Relationship Id="rId10" Type="http://schemas.openxmlformats.org/officeDocument/2006/relationships/hyperlink" Target="http://visualizzamaterieesame.static.istruzione.it/from-homepage/comunicato/Allegato%202%20Istituto%20Tecnico.pdf" TargetMode="External"/><Relationship Id="rId4" Type="http://schemas.openxmlformats.org/officeDocument/2006/relationships/settings" Target="settings.xml"/><Relationship Id="rId9" Type="http://schemas.openxmlformats.org/officeDocument/2006/relationships/hyperlink" Target="http://visualizzamaterieesame.static.istruzione.it/from-homepage/comunicato/Allegato%201%20Liceo.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2</cp:revision>
  <dcterms:created xsi:type="dcterms:W3CDTF">2020-01-30T20:09:00Z</dcterms:created>
  <dcterms:modified xsi:type="dcterms:W3CDTF">2020-01-30T20:09:00Z</dcterms:modified>
</cp:coreProperties>
</file>