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1380"/>
        <w:tblW w:w="5000" w:type="pct"/>
        <w:shd w:val="clear" w:color="auto" w:fill="FFFFFF"/>
        <w:tblCellMar>
          <w:left w:w="0" w:type="dxa"/>
          <w:right w:w="0" w:type="dxa"/>
        </w:tblCellMar>
        <w:tblLook w:val="04A0" w:firstRow="1" w:lastRow="0" w:firstColumn="1" w:lastColumn="0" w:noHBand="0" w:noVBand="1"/>
      </w:tblPr>
      <w:tblGrid>
        <w:gridCol w:w="9638"/>
      </w:tblGrid>
      <w:tr w:rsidR="00257D54" w:rsidRPr="00257D54" w:rsidTr="00257D54">
        <w:trPr>
          <w:trHeight w:val="570"/>
        </w:trPr>
        <w:tc>
          <w:tcPr>
            <w:tcW w:w="0" w:type="auto"/>
            <w:tcBorders>
              <w:top w:val="nil"/>
              <w:left w:val="nil"/>
              <w:bottom w:val="nil"/>
              <w:right w:val="nil"/>
            </w:tcBorders>
            <w:shd w:val="clear" w:color="auto" w:fill="FFFFFF"/>
          </w:tcPr>
          <w:p w:rsidR="00257D54" w:rsidRPr="00257D54" w:rsidRDefault="00257D54" w:rsidP="00257D54">
            <w:pPr>
              <w:numPr>
                <w:ilvl w:val="0"/>
                <w:numId w:val="2"/>
              </w:numPr>
              <w:shd w:val="clear" w:color="auto" w:fill="005980"/>
              <w:spacing w:after="0" w:line="240" w:lineRule="auto"/>
              <w:ind w:left="0"/>
              <w:textAlignment w:val="baseline"/>
              <w:rPr>
                <w:rFonts w:ascii="Titillium Web" w:eastAsia="Times New Roman" w:hAnsi="Titillium Web" w:cs="Times New Roman"/>
                <w:color w:val="333333"/>
                <w:sz w:val="24"/>
                <w:szCs w:val="24"/>
                <w:lang w:eastAsia="it-IT"/>
              </w:rPr>
            </w:pPr>
          </w:p>
        </w:tc>
      </w:tr>
    </w:tbl>
    <w:p w:rsidR="00257D54" w:rsidRPr="00257D54" w:rsidRDefault="00257D54" w:rsidP="00257D54">
      <w:pPr>
        <w:spacing w:after="0" w:line="240" w:lineRule="auto"/>
        <w:rPr>
          <w:rFonts w:ascii="Verdana" w:eastAsia="Times New Roman" w:hAnsi="Verdana" w:cs="Times New Roman"/>
          <w:sz w:val="20"/>
          <w:szCs w:val="20"/>
          <w:lang w:eastAsia="it-IT"/>
        </w:rPr>
      </w:pPr>
      <w:bookmarkStart w:id="0" w:name="_GoBack"/>
      <w:bookmarkEnd w:id="0"/>
    </w:p>
    <w:tbl>
      <w:tblPr>
        <w:tblW w:w="5000" w:type="pct"/>
        <w:tblCellMar>
          <w:top w:w="15" w:type="dxa"/>
          <w:left w:w="15" w:type="dxa"/>
          <w:bottom w:w="15" w:type="dxa"/>
          <w:right w:w="15" w:type="dxa"/>
        </w:tblCellMar>
        <w:tblLook w:val="04A0" w:firstRow="1" w:lastRow="0" w:firstColumn="1" w:lastColumn="0" w:noHBand="0" w:noVBand="1"/>
      </w:tblPr>
      <w:tblGrid>
        <w:gridCol w:w="2970"/>
        <w:gridCol w:w="3630"/>
        <w:gridCol w:w="3068"/>
      </w:tblGrid>
      <w:tr w:rsidR="00257D54" w:rsidRPr="00257D54" w:rsidTr="00257D54">
        <w:tc>
          <w:tcPr>
            <w:tcW w:w="0" w:type="auto"/>
            <w:gridSpan w:val="3"/>
            <w:hideMark/>
          </w:tcPr>
          <w:p w:rsidR="00257D54" w:rsidRPr="00257D54" w:rsidRDefault="00257D54" w:rsidP="00257D54">
            <w:pPr>
              <w:spacing w:before="100" w:beforeAutospacing="1" w:after="100" w:afterAutospacing="1" w:line="240" w:lineRule="auto"/>
              <w:jc w:val="center"/>
              <w:outlineLvl w:val="1"/>
              <w:rPr>
                <w:rFonts w:ascii="Verdana" w:eastAsia="Times New Roman" w:hAnsi="Verdana" w:cs="Times New Roman"/>
                <w:b/>
                <w:bCs/>
                <w:sz w:val="36"/>
                <w:szCs w:val="36"/>
                <w:lang w:eastAsia="it-IT"/>
              </w:rPr>
            </w:pPr>
            <w:r w:rsidRPr="00257D54">
              <w:rPr>
                <w:rFonts w:ascii="Times New Roman" w:eastAsia="Times New Roman" w:hAnsi="Times New Roman" w:cs="Times New Roman"/>
                <w:b/>
                <w:bCs/>
                <w:color w:val="808080"/>
                <w:sz w:val="36"/>
                <w:szCs w:val="36"/>
                <w:lang w:eastAsia="it-IT"/>
              </w:rPr>
              <w:t>Istituto Nazionale della Previdenza Sociale</w:t>
            </w:r>
            <w:r w:rsidRPr="00257D54">
              <w:rPr>
                <w:rFonts w:ascii="Verdana" w:eastAsia="Times New Roman" w:hAnsi="Verdana" w:cs="Times New Roman"/>
                <w:b/>
                <w:bCs/>
                <w:sz w:val="36"/>
                <w:szCs w:val="36"/>
                <w:lang w:eastAsia="it-IT"/>
              </w:rPr>
              <w:t xml:space="preserve"> </w:t>
            </w:r>
          </w:p>
        </w:tc>
      </w:tr>
      <w:tr w:rsidR="00257D54" w:rsidRPr="00257D54" w:rsidTr="00257D54">
        <w:tc>
          <w:tcPr>
            <w:tcW w:w="1650" w:type="pct"/>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Verdana" w:eastAsia="Times New Roman" w:hAnsi="Verdana" w:cs="Times New Roman"/>
                <w:noProof/>
                <w:sz w:val="24"/>
                <w:szCs w:val="24"/>
                <w:lang w:eastAsia="it-IT"/>
              </w:rPr>
              <w:drawing>
                <wp:inline distT="0" distB="0" distL="0" distR="0" wp14:anchorId="4F3B05B0" wp14:editId="265616C4">
                  <wp:extent cx="1238250" cy="619125"/>
                  <wp:effectExtent l="0" t="0" r="0" b="0"/>
                  <wp:docPr id="4" name="img_bada" descr="Banche dati documen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ada" descr="Banche dati documenta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p>
        </w:tc>
        <w:tc>
          <w:tcPr>
            <w:tcW w:w="1650" w:type="pct"/>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Verdana" w:eastAsia="Times New Roman" w:hAnsi="Verdana" w:cs="Times New Roman"/>
                <w:noProof/>
                <w:sz w:val="24"/>
                <w:szCs w:val="24"/>
                <w:lang w:eastAsia="it-IT"/>
              </w:rPr>
              <w:drawing>
                <wp:inline distT="0" distB="0" distL="0" distR="0" wp14:anchorId="4ED31CA0" wp14:editId="13FE09EF">
                  <wp:extent cx="2286000" cy="571500"/>
                  <wp:effectExtent l="0" t="0" r="0" b="0"/>
                  <wp:docPr id="5" name="img_inps_servizi" descr="Inps Serv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inps_servizi" descr="Inps Serviz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inline>
              </w:drawing>
            </w:r>
          </w:p>
        </w:tc>
        <w:tc>
          <w:tcPr>
            <w:tcW w:w="0" w:type="auto"/>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Verdana" w:eastAsia="Times New Roman" w:hAnsi="Verdana" w:cs="Times New Roman"/>
                <w:noProof/>
                <w:sz w:val="24"/>
                <w:szCs w:val="24"/>
                <w:lang w:eastAsia="it-IT"/>
              </w:rPr>
              <w:drawing>
                <wp:inline distT="0" distB="0" distL="0" distR="0" wp14:anchorId="2519E445" wp14:editId="6D56DE64">
                  <wp:extent cx="1238250" cy="619125"/>
                  <wp:effectExtent l="0" t="0" r="0" b="0"/>
                  <wp:docPr id="6" name="img_bada_2" descr="Banche dati documen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ada_2" descr="Banche dati documenta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p>
        </w:tc>
      </w:tr>
      <w:tr w:rsidR="00257D54" w:rsidRPr="00257D54" w:rsidTr="00257D54">
        <w:tc>
          <w:tcPr>
            <w:tcW w:w="0" w:type="auto"/>
            <w:gridSpan w:val="3"/>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pict>
                <v:rect id="_x0000_i1031" style="width:457.8pt;height:1.5pt" o:hrpct="950" o:hralign="center" o:hrstd="t" o:hr="t" fillcolor="#a0a0a0" stroked="f"/>
              </w:pict>
            </w:r>
          </w:p>
        </w:tc>
      </w:tr>
      <w:tr w:rsidR="00257D54" w:rsidRPr="00257D54" w:rsidTr="00257D54">
        <w:tc>
          <w:tcPr>
            <w:tcW w:w="0" w:type="auto"/>
            <w:gridSpan w:val="3"/>
            <w:shd w:val="clear" w:color="auto" w:fill="000080"/>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Times New Roman" w:eastAsia="Times New Roman" w:hAnsi="Times New Roman" w:cs="Times New Roman"/>
                <w:b/>
                <w:bCs/>
                <w:color w:val="FFFFFF"/>
                <w:sz w:val="24"/>
                <w:szCs w:val="24"/>
                <w:lang w:eastAsia="it-IT"/>
              </w:rPr>
              <w:t xml:space="preserve">Circolare numero 87 del 18-05-2017 </w:t>
            </w:r>
          </w:p>
        </w:tc>
      </w:tr>
    </w:tbl>
    <w:p w:rsidR="00257D54" w:rsidRPr="00257D54" w:rsidRDefault="00257D54" w:rsidP="00257D54">
      <w:pPr>
        <w:spacing w:after="0" w:line="240" w:lineRule="auto"/>
        <w:rPr>
          <w:rFonts w:ascii="Verdana" w:eastAsia="Times New Roman" w:hAnsi="Verdana" w:cs="Times New Roman"/>
          <w:lang w:eastAsia="it-IT"/>
        </w:rPr>
      </w:pPr>
    </w:p>
    <w:p w:rsidR="00257D54" w:rsidRPr="00257D54" w:rsidRDefault="00257D54" w:rsidP="00257D54">
      <w:pPr>
        <w:spacing w:after="30" w:line="240" w:lineRule="auto"/>
        <w:jc w:val="center"/>
        <w:rPr>
          <w:rFonts w:ascii="Verdana" w:eastAsia="Times New Roman" w:hAnsi="Verdana" w:cs="Times New Roman"/>
          <w:lang w:eastAsia="it-IT"/>
        </w:rPr>
      </w:pPr>
      <w:r w:rsidRPr="00257D54">
        <w:rPr>
          <w:rFonts w:ascii="Verdana" w:eastAsia="Times New Roman" w:hAnsi="Verdana" w:cs="Times New Roman"/>
          <w:noProof/>
          <w:color w:val="0000FF"/>
          <w:lang w:eastAsia="it-IT"/>
        </w:rPr>
        <w:drawing>
          <wp:inline distT="0" distB="0" distL="0" distR="0" wp14:anchorId="000B3640" wp14:editId="492CED99">
            <wp:extent cx="1400175" cy="371475"/>
            <wp:effectExtent l="0" t="0" r="9525" b="9525"/>
            <wp:docPr id="7" name="img_download_pdf" descr="Attivando questo Link si puo' ricevere il documento in formato 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ownload_pdf" descr="Attivando questo Link si puo' ricevere il documento in formato PD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9218"/>
        <w:gridCol w:w="450"/>
      </w:tblGrid>
      <w:tr w:rsidR="00257D54" w:rsidRPr="00257D54" w:rsidTr="00257D54">
        <w:tc>
          <w:tcPr>
            <w:tcW w:w="0" w:type="auto"/>
            <w:hideMark/>
          </w:tcPr>
          <w:p w:rsidR="00257D54" w:rsidRPr="00257D54" w:rsidRDefault="00257D54" w:rsidP="00257D54">
            <w:pPr>
              <w:spacing w:line="240" w:lineRule="auto"/>
              <w:rPr>
                <w:rFonts w:ascii="Verdana" w:eastAsia="Times New Roman" w:hAnsi="Verdana" w:cs="Times New Roman"/>
                <w:sz w:val="24"/>
                <w:szCs w:val="24"/>
                <w:lang w:eastAsia="it-IT"/>
              </w:rPr>
            </w:pPr>
            <w:r w:rsidRPr="00257D54">
              <w:rPr>
                <w:rFonts w:ascii="Verdana" w:eastAsia="Times New Roman" w:hAnsi="Verdana" w:cs="Times New Roman"/>
                <w:i/>
                <w:iCs/>
                <w:lang w:eastAsia="it-IT"/>
              </w:rPr>
              <w:t xml:space="preserve">Coordinamento Generale Statistico Attuariale </w:t>
            </w:r>
            <w:r w:rsidRPr="00257D54">
              <w:rPr>
                <w:rFonts w:ascii="Verdana" w:eastAsia="Times New Roman" w:hAnsi="Verdana" w:cs="Times New Roman"/>
                <w:i/>
                <w:iCs/>
                <w:lang w:eastAsia="it-IT"/>
              </w:rPr>
              <w:br/>
              <w:t xml:space="preserve">Direzione Centrale Ammortizzatori Sociali </w:t>
            </w:r>
          </w:p>
          <w:tbl>
            <w:tblPr>
              <w:tblW w:w="5000" w:type="pct"/>
              <w:tblCellMar>
                <w:left w:w="0" w:type="dxa"/>
                <w:right w:w="0" w:type="dxa"/>
              </w:tblCellMar>
              <w:tblLook w:val="04A0" w:firstRow="1" w:lastRow="0" w:firstColumn="1" w:lastColumn="0" w:noHBand="0" w:noVBand="1"/>
            </w:tblPr>
            <w:tblGrid>
              <w:gridCol w:w="4594"/>
              <w:gridCol w:w="4594"/>
            </w:tblGrid>
            <w:tr w:rsidR="00257D54" w:rsidRPr="00257D54" w:rsidTr="00257D54">
              <w:tc>
                <w:tcPr>
                  <w:tcW w:w="2500" w:type="pct"/>
                  <w:hideMark/>
                </w:tcPr>
                <w:p w:rsidR="00257D54" w:rsidRPr="00257D54" w:rsidRDefault="00257D54" w:rsidP="00257D54">
                  <w:pPr>
                    <w:spacing w:after="0" w:line="240" w:lineRule="auto"/>
                    <w:rPr>
                      <w:rFonts w:ascii="Verdana" w:eastAsia="Times New Roman" w:hAnsi="Verdana" w:cs="Times New Roman"/>
                      <w:b/>
                      <w:bCs/>
                      <w:lang w:eastAsia="it-IT"/>
                    </w:rPr>
                  </w:pPr>
                  <w:r w:rsidRPr="00257D54">
                    <w:rPr>
                      <w:rFonts w:ascii="Verdana" w:eastAsia="Times New Roman" w:hAnsi="Verdana" w:cs="Times New Roman"/>
                      <w:b/>
                      <w:bCs/>
                      <w:lang w:eastAsia="it-IT"/>
                    </w:rPr>
                    <w:t xml:space="preserve">Roma, 18/05/2017 </w:t>
                  </w:r>
                </w:p>
                <w:p w:rsidR="00257D54" w:rsidRPr="00257D54" w:rsidRDefault="00257D54" w:rsidP="00257D54">
                  <w:pPr>
                    <w:spacing w:after="0" w:line="240" w:lineRule="auto"/>
                    <w:rPr>
                      <w:rFonts w:ascii="Verdana" w:eastAsia="Times New Roman" w:hAnsi="Verdana" w:cs="Times New Roman"/>
                      <w:b/>
                      <w:bCs/>
                      <w:lang w:eastAsia="it-IT"/>
                    </w:rPr>
                  </w:pPr>
                  <w:r w:rsidRPr="00257D54">
                    <w:rPr>
                      <w:rFonts w:ascii="Verdana" w:eastAsia="Times New Roman" w:hAnsi="Verdana" w:cs="Times New Roman"/>
                      <w:b/>
                      <w:bCs/>
                      <w:lang w:eastAsia="it-IT"/>
                    </w:rPr>
                    <w:t xml:space="preserve">Circolare n. 87 </w:t>
                  </w:r>
                </w:p>
              </w:tc>
              <w:tc>
                <w:tcPr>
                  <w:tcW w:w="2500" w:type="pct"/>
                  <w:hideMark/>
                </w:tcPr>
                <w:p w:rsidR="00257D54" w:rsidRPr="00257D54" w:rsidRDefault="00257D54" w:rsidP="00257D54">
                  <w:pPr>
                    <w:spacing w:after="0" w:line="240" w:lineRule="auto"/>
                    <w:rPr>
                      <w:rFonts w:ascii="Verdana" w:eastAsia="Times New Roman" w:hAnsi="Verdana" w:cs="Times New Roman"/>
                      <w:i/>
                      <w:iCs/>
                      <w:lang w:eastAsia="it-IT"/>
                    </w:rPr>
                  </w:pPr>
                  <w:r w:rsidRPr="00257D54">
                    <w:rPr>
                      <w:rFonts w:ascii="Verdana" w:eastAsia="Times New Roman" w:hAnsi="Verdana" w:cs="Times New Roman"/>
                      <w:i/>
                      <w:iCs/>
                      <w:lang w:eastAsia="it-IT"/>
                    </w:rPr>
                    <w:t xml:space="preserve">Ai Dirigenti centrali e periferici </w:t>
                  </w:r>
                  <w:r w:rsidRPr="00257D54">
                    <w:rPr>
                      <w:rFonts w:ascii="Verdana" w:eastAsia="Times New Roman" w:hAnsi="Verdana" w:cs="Times New Roman"/>
                      <w:i/>
                      <w:iCs/>
                      <w:lang w:eastAsia="it-IT"/>
                    </w:rPr>
                    <w:br/>
                    <w:t xml:space="preserve">Ai Responsabili delle Agenzie </w:t>
                  </w:r>
                  <w:r w:rsidRPr="00257D54">
                    <w:rPr>
                      <w:rFonts w:ascii="Verdana" w:eastAsia="Times New Roman" w:hAnsi="Verdana" w:cs="Times New Roman"/>
                      <w:i/>
                      <w:iCs/>
                      <w:lang w:eastAsia="it-IT"/>
                    </w:rPr>
                    <w:br/>
                    <w:t xml:space="preserve">Ai Coordinatori generali, centrali e </w:t>
                  </w:r>
                  <w:r w:rsidRPr="00257D54">
                    <w:rPr>
                      <w:rFonts w:ascii="Verdana" w:eastAsia="Times New Roman" w:hAnsi="Verdana" w:cs="Times New Roman"/>
                      <w:i/>
                      <w:iCs/>
                      <w:lang w:eastAsia="it-IT"/>
                    </w:rPr>
                    <w:br/>
                    <w:t xml:space="preserve">   periferici dei Rami professionali </w:t>
                  </w:r>
                  <w:r w:rsidRPr="00257D54">
                    <w:rPr>
                      <w:rFonts w:ascii="Verdana" w:eastAsia="Times New Roman" w:hAnsi="Verdana" w:cs="Times New Roman"/>
                      <w:i/>
                      <w:iCs/>
                      <w:lang w:eastAsia="it-IT"/>
                    </w:rPr>
                    <w:br/>
                    <w:t xml:space="preserve">Al Coordinatore generale Medico legale e </w:t>
                  </w:r>
                  <w:r w:rsidRPr="00257D54">
                    <w:rPr>
                      <w:rFonts w:ascii="Verdana" w:eastAsia="Times New Roman" w:hAnsi="Verdana" w:cs="Times New Roman"/>
                      <w:i/>
                      <w:iCs/>
                      <w:lang w:eastAsia="it-IT"/>
                    </w:rPr>
                    <w:br/>
                    <w:t xml:space="preserve">   Dirigenti Medici </w:t>
                  </w:r>
                  <w:r w:rsidRPr="00257D54">
                    <w:rPr>
                      <w:rFonts w:ascii="Verdana" w:eastAsia="Times New Roman" w:hAnsi="Verdana" w:cs="Times New Roman"/>
                      <w:i/>
                      <w:iCs/>
                      <w:lang w:eastAsia="it-IT"/>
                    </w:rPr>
                    <w:br/>
                  </w:r>
                  <w:r w:rsidRPr="00257D54">
                    <w:rPr>
                      <w:rFonts w:ascii="Verdana" w:eastAsia="Times New Roman" w:hAnsi="Verdana" w:cs="Times New Roman"/>
                      <w:i/>
                      <w:iCs/>
                      <w:lang w:eastAsia="it-IT"/>
                    </w:rPr>
                    <w:br/>
                  </w:r>
                  <w:r w:rsidRPr="00257D54">
                    <w:rPr>
                      <w:rFonts w:ascii="Verdana" w:eastAsia="Times New Roman" w:hAnsi="Verdana" w:cs="Times New Roman"/>
                      <w:lang w:eastAsia="it-IT"/>
                    </w:rPr>
                    <w:t>e, per conoscenza,</w:t>
                  </w:r>
                  <w:r w:rsidRPr="00257D54">
                    <w:rPr>
                      <w:rFonts w:ascii="Verdana" w:eastAsia="Times New Roman" w:hAnsi="Verdana" w:cs="Times New Roman"/>
                      <w:i/>
                      <w:iCs/>
                      <w:lang w:eastAsia="it-IT"/>
                    </w:rPr>
                    <w:t xml:space="preserve"> </w:t>
                  </w:r>
                  <w:r w:rsidRPr="00257D54">
                    <w:rPr>
                      <w:rFonts w:ascii="Verdana" w:eastAsia="Times New Roman" w:hAnsi="Verdana" w:cs="Times New Roman"/>
                      <w:i/>
                      <w:iCs/>
                      <w:lang w:eastAsia="it-IT"/>
                    </w:rPr>
                    <w:br/>
                  </w:r>
                  <w:r w:rsidRPr="00257D54">
                    <w:rPr>
                      <w:rFonts w:ascii="Verdana" w:eastAsia="Times New Roman" w:hAnsi="Verdana" w:cs="Times New Roman"/>
                      <w:i/>
                      <w:iCs/>
                      <w:lang w:eastAsia="it-IT"/>
                    </w:rPr>
                    <w:br/>
                    <w:t xml:space="preserve">Al Presidente </w:t>
                  </w:r>
                  <w:r w:rsidRPr="00257D54">
                    <w:rPr>
                      <w:rFonts w:ascii="Verdana" w:eastAsia="Times New Roman" w:hAnsi="Verdana" w:cs="Times New Roman"/>
                      <w:i/>
                      <w:iCs/>
                      <w:lang w:eastAsia="it-IT"/>
                    </w:rPr>
                    <w:br/>
                    <w:t xml:space="preserve">Al Presidente e ai Componenti del Consiglio di Indirizzo e Vigilanza </w:t>
                  </w:r>
                  <w:r w:rsidRPr="00257D54">
                    <w:rPr>
                      <w:rFonts w:ascii="Verdana" w:eastAsia="Times New Roman" w:hAnsi="Verdana" w:cs="Times New Roman"/>
                      <w:i/>
                      <w:iCs/>
                      <w:lang w:eastAsia="it-IT"/>
                    </w:rPr>
                    <w:br/>
                    <w:t xml:space="preserve">Al Presidente e ai Componenti del Collegio dei Sindaci </w:t>
                  </w:r>
                  <w:r w:rsidRPr="00257D54">
                    <w:rPr>
                      <w:rFonts w:ascii="Verdana" w:eastAsia="Times New Roman" w:hAnsi="Verdana" w:cs="Times New Roman"/>
                      <w:i/>
                      <w:iCs/>
                      <w:lang w:eastAsia="it-IT"/>
                    </w:rPr>
                    <w:br/>
                    <w:t xml:space="preserve">Al Magistrato della Corte dei Conti delegato all'esercizio del controllo </w:t>
                  </w:r>
                  <w:r w:rsidRPr="00257D54">
                    <w:rPr>
                      <w:rFonts w:ascii="Verdana" w:eastAsia="Times New Roman" w:hAnsi="Verdana" w:cs="Times New Roman"/>
                      <w:i/>
                      <w:iCs/>
                      <w:lang w:eastAsia="it-IT"/>
                    </w:rPr>
                    <w:br/>
                    <w:t xml:space="preserve">Ai Presidenti dei Comitati amministratori </w:t>
                  </w:r>
                  <w:r w:rsidRPr="00257D54">
                    <w:rPr>
                      <w:rFonts w:ascii="Verdana" w:eastAsia="Times New Roman" w:hAnsi="Verdana" w:cs="Times New Roman"/>
                      <w:i/>
                      <w:iCs/>
                      <w:lang w:eastAsia="it-IT"/>
                    </w:rPr>
                    <w:br/>
                    <w:t xml:space="preserve">   di fondi, gestioni e casse </w:t>
                  </w:r>
                  <w:r w:rsidRPr="00257D54">
                    <w:rPr>
                      <w:rFonts w:ascii="Verdana" w:eastAsia="Times New Roman" w:hAnsi="Verdana" w:cs="Times New Roman"/>
                      <w:i/>
                      <w:iCs/>
                      <w:lang w:eastAsia="it-IT"/>
                    </w:rPr>
                    <w:br/>
                    <w:t xml:space="preserve">Al Presidente della Commissione centrale </w:t>
                  </w:r>
                  <w:r w:rsidRPr="00257D54">
                    <w:rPr>
                      <w:rFonts w:ascii="Verdana" w:eastAsia="Times New Roman" w:hAnsi="Verdana" w:cs="Times New Roman"/>
                      <w:i/>
                      <w:iCs/>
                      <w:lang w:eastAsia="it-IT"/>
                    </w:rPr>
                    <w:br/>
                    <w:t xml:space="preserve">   per l'accertamento e la riscossione </w:t>
                  </w:r>
                  <w:r w:rsidRPr="00257D54">
                    <w:rPr>
                      <w:rFonts w:ascii="Verdana" w:eastAsia="Times New Roman" w:hAnsi="Verdana" w:cs="Times New Roman"/>
                      <w:i/>
                      <w:iCs/>
                      <w:lang w:eastAsia="it-IT"/>
                    </w:rPr>
                    <w:br/>
                    <w:t xml:space="preserve">   dei contributi agricoli unificati </w:t>
                  </w:r>
                  <w:r w:rsidRPr="00257D54">
                    <w:rPr>
                      <w:rFonts w:ascii="Verdana" w:eastAsia="Times New Roman" w:hAnsi="Verdana" w:cs="Times New Roman"/>
                      <w:i/>
                      <w:iCs/>
                      <w:lang w:eastAsia="it-IT"/>
                    </w:rPr>
                    <w:br/>
                    <w:t xml:space="preserve">Ai Presidenti dei Comitati regionali </w:t>
                  </w:r>
                  <w:r w:rsidRPr="00257D54">
                    <w:rPr>
                      <w:rFonts w:ascii="Verdana" w:eastAsia="Times New Roman" w:hAnsi="Verdana" w:cs="Times New Roman"/>
                      <w:i/>
                      <w:iCs/>
                      <w:lang w:eastAsia="it-IT"/>
                    </w:rPr>
                    <w:br/>
                    <w:t xml:space="preserve">Ai Presidenti dei Comitati provinciali </w:t>
                  </w:r>
                </w:p>
              </w:tc>
            </w:tr>
            <w:tr w:rsidR="00257D54" w:rsidRPr="00257D54" w:rsidTr="00257D54">
              <w:tc>
                <w:tcPr>
                  <w:tcW w:w="2500" w:type="pct"/>
                  <w:hideMark/>
                </w:tcPr>
                <w:p w:rsidR="00257D54" w:rsidRPr="00257D54" w:rsidRDefault="00257D54" w:rsidP="00257D54">
                  <w:pPr>
                    <w:spacing w:after="150" w:line="240" w:lineRule="auto"/>
                    <w:rPr>
                      <w:rFonts w:ascii="Verdana" w:eastAsia="Times New Roman" w:hAnsi="Verdana" w:cs="Times New Roman"/>
                      <w:sz w:val="18"/>
                      <w:szCs w:val="18"/>
                      <w:lang w:eastAsia="it-IT"/>
                    </w:rPr>
                  </w:pPr>
                  <w:r w:rsidRPr="00257D54">
                    <w:rPr>
                      <w:rFonts w:ascii="Verdana" w:eastAsia="Times New Roman" w:hAnsi="Verdana" w:cs="Times New Roman"/>
                      <w:sz w:val="18"/>
                      <w:szCs w:val="18"/>
                      <w:lang w:eastAsia="it-IT"/>
                    </w:rPr>
                    <w:t xml:space="preserve">Allegati n.1 </w:t>
                  </w:r>
                </w:p>
              </w:tc>
              <w:tc>
                <w:tcPr>
                  <w:tcW w:w="2500" w:type="pct"/>
                  <w:hideMark/>
                </w:tcPr>
                <w:p w:rsidR="00257D54" w:rsidRPr="00257D54" w:rsidRDefault="00257D54" w:rsidP="00257D54">
                  <w:pPr>
                    <w:spacing w:after="0" w:line="240" w:lineRule="auto"/>
                    <w:rPr>
                      <w:rFonts w:ascii="Verdana" w:eastAsia="Times New Roman" w:hAnsi="Verdana" w:cs="Times New Roman"/>
                      <w:sz w:val="24"/>
                      <w:szCs w:val="24"/>
                      <w:lang w:eastAsia="it-IT"/>
                    </w:rPr>
                  </w:pPr>
                </w:p>
              </w:tc>
            </w:tr>
            <w:tr w:rsidR="00257D54" w:rsidRPr="00257D54" w:rsidTr="00257D54">
              <w:tc>
                <w:tcPr>
                  <w:tcW w:w="1950" w:type="dxa"/>
                  <w:tcMar>
                    <w:top w:w="0" w:type="dxa"/>
                    <w:left w:w="0" w:type="dxa"/>
                    <w:bottom w:w="0" w:type="dxa"/>
                    <w:right w:w="75" w:type="dxa"/>
                  </w:tcMar>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xml:space="preserve">OGGETTO: </w:t>
                  </w:r>
                </w:p>
              </w:tc>
              <w:tc>
                <w:tcPr>
                  <w:tcW w:w="0" w:type="auto"/>
                  <w:hideMark/>
                </w:tcPr>
                <w:p w:rsidR="00257D54" w:rsidRPr="00257D54" w:rsidRDefault="00257D54" w:rsidP="00257D54">
                  <w:pPr>
                    <w:spacing w:after="0" w:line="240" w:lineRule="auto"/>
                    <w:rPr>
                      <w:rFonts w:ascii="Verdana" w:eastAsia="Times New Roman" w:hAnsi="Verdana" w:cs="Times New Roman"/>
                      <w:b/>
                      <w:bCs/>
                      <w:sz w:val="24"/>
                      <w:szCs w:val="24"/>
                      <w:lang w:eastAsia="it-IT"/>
                    </w:rPr>
                  </w:pPr>
                  <w:r w:rsidRPr="00257D54">
                    <w:rPr>
                      <w:rFonts w:ascii="Verdana" w:eastAsia="Times New Roman" w:hAnsi="Verdana" w:cs="Times New Roman"/>
                      <w:b/>
                      <w:bCs/>
                      <w:sz w:val="24"/>
                      <w:szCs w:val="24"/>
                      <w:lang w:eastAsia="it-IT"/>
                    </w:rPr>
                    <w:t>Corresponsione dell'assegno per il nucleo familiare. Nuovi livelli reddituali per il periodo 1° luglio 2017 - 30 giugno 2018.</w:t>
                  </w:r>
                </w:p>
              </w:tc>
            </w:tr>
          </w:tbl>
          <w:p w:rsidR="00257D54" w:rsidRPr="00257D54" w:rsidRDefault="00257D54" w:rsidP="00257D54">
            <w:pPr>
              <w:spacing w:after="150" w:line="240" w:lineRule="auto"/>
              <w:jc w:val="both"/>
              <w:rPr>
                <w:rFonts w:ascii="Verdana" w:eastAsia="Times New Roman" w:hAnsi="Verdana" w:cs="Times New Roman"/>
                <w:vanish/>
                <w:lang w:eastAsia="it-IT"/>
              </w:rPr>
            </w:pPr>
          </w:p>
          <w:tbl>
            <w:tblPr>
              <w:tblW w:w="5000" w:type="pct"/>
              <w:tblCellMar>
                <w:left w:w="0" w:type="dxa"/>
                <w:right w:w="0" w:type="dxa"/>
              </w:tblCellMar>
              <w:tblLook w:val="04A0" w:firstRow="1" w:lastRow="0" w:firstColumn="1" w:lastColumn="0" w:noHBand="0" w:noVBand="1"/>
            </w:tblPr>
            <w:tblGrid>
              <w:gridCol w:w="1950"/>
              <w:gridCol w:w="7238"/>
            </w:tblGrid>
            <w:tr w:rsidR="00257D54" w:rsidRPr="00257D54" w:rsidTr="00257D54">
              <w:tc>
                <w:tcPr>
                  <w:tcW w:w="1950" w:type="dxa"/>
                  <w:tcMar>
                    <w:top w:w="0" w:type="dxa"/>
                    <w:left w:w="0" w:type="dxa"/>
                    <w:bottom w:w="0" w:type="dxa"/>
                    <w:right w:w="75" w:type="dxa"/>
                  </w:tcMar>
                  <w:hideMark/>
                </w:tcPr>
                <w:p w:rsidR="00257D54" w:rsidRPr="00257D54" w:rsidRDefault="00257D54" w:rsidP="00257D54">
                  <w:pPr>
                    <w:spacing w:after="0" w:line="240" w:lineRule="auto"/>
                    <w:rPr>
                      <w:rFonts w:ascii="Verdana" w:eastAsia="Times New Roman" w:hAnsi="Verdana" w:cs="Times New Roman"/>
                      <w:b/>
                      <w:bCs/>
                      <w:sz w:val="24"/>
                      <w:szCs w:val="24"/>
                      <w:lang w:eastAsia="it-IT"/>
                    </w:rPr>
                  </w:pPr>
                  <w:r w:rsidRPr="00257D54">
                    <w:rPr>
                      <w:rFonts w:ascii="Verdana" w:eastAsia="Times New Roman" w:hAnsi="Verdana" w:cs="Times New Roman"/>
                      <w:b/>
                      <w:bCs/>
                      <w:sz w:val="24"/>
                      <w:szCs w:val="24"/>
                      <w:lang w:eastAsia="it-IT"/>
                    </w:rPr>
                    <w:t xml:space="preserve">SOMMARIO: </w:t>
                  </w:r>
                </w:p>
              </w:tc>
              <w:tc>
                <w:tcPr>
                  <w:tcW w:w="0" w:type="auto"/>
                  <w:hideMark/>
                </w:tcPr>
                <w:p w:rsidR="00257D54" w:rsidRPr="00257D54" w:rsidRDefault="00257D54" w:rsidP="00257D54">
                  <w:pPr>
                    <w:spacing w:after="0" w:line="240" w:lineRule="auto"/>
                    <w:rPr>
                      <w:rFonts w:ascii="Verdana" w:eastAsia="Times New Roman" w:hAnsi="Verdana" w:cs="Times New Roman"/>
                      <w:i/>
                      <w:iCs/>
                      <w:sz w:val="24"/>
                      <w:szCs w:val="24"/>
                      <w:lang w:eastAsia="it-IT"/>
                    </w:rPr>
                  </w:pPr>
                  <w:r w:rsidRPr="00257D54">
                    <w:rPr>
                      <w:rFonts w:ascii="Verdana" w:eastAsia="Times New Roman" w:hAnsi="Verdana" w:cs="Times New Roman"/>
                      <w:i/>
                      <w:iCs/>
                      <w:sz w:val="24"/>
                      <w:szCs w:val="24"/>
                      <w:lang w:eastAsia="it-IT"/>
                    </w:rPr>
                    <w:t>Decorrenza dal 1° luglio 2017 dei livelli di reddito familiare ai fini della corresponsione dell'assegno per il  nucleo familiare alle diverse tipologie di nuclei.</w:t>
                  </w:r>
                </w:p>
              </w:tc>
            </w:tr>
          </w:tbl>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lastRenderedPageBreak/>
              <w:t>La legge n. 153/88 stabilisce che i livelli di reddito familiare ai fini della corresponsione dell'assegno per il nucleo familiare sono rivalutati annualmente, con effetto dal 1° luglio di ciascun anno, in misura pari alla variazione dell'indice dei prezzi al consumo per le famiglie di operai ed impiegati, calcolato dall'ISTAT, intervenuta tra l'anno di riferimento dei redditi per la corresponsione dell'assegno e l'anno immediatamente precedente.</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Il Dipartimento delle politiche per la famiglia con il Comunicato pubblicato sulla G.U. n. 47 del 25.02.2017, ha reso noto che, in base ai calcoli effettuati dall'ISTAT, la variazione percentuale dell'indice dei prezzi al consumo tra l'anno 2015 e l'anno 2016 è risultata pari a – 0,1 per cento.</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Come ricordato dal Comunicato suddetto l’articolo 1, comma 287 della legge 28 dicembre 2015, n. 208, ai fini della rivalutazione da applicare sulle prestazioni assistenziali e previdenziali, ha stabilito che “con riferimento alle prestazioni previdenziali e assistenziali e ai parametri ad esse connessi, la percentuale di adeguamento corrispondente alla variazione che si determina rapportando il valore medio dell’indice ISTAT dei prezzi al consumo per famiglie di operai ed impiegati, relativo all’anno precedente il mese di decorrenza dell’adeguamento, all’analogo valore medio relativo all’anno precedente non può essere inferiore a zero”.</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xml:space="preserve"> Pertanto, in applicazione del predetto articolo, restano fermi per l’anno 2017 i livelli reddituali contenuti nelle tabelle relative all’anno 2016 (circolare INPS n. 92/2016),  </w:t>
            </w:r>
            <w:proofErr w:type="spellStart"/>
            <w:r w:rsidRPr="00257D54">
              <w:rPr>
                <w:rFonts w:ascii="Verdana" w:eastAsia="Times New Roman" w:hAnsi="Verdana" w:cs="Times New Roman"/>
                <w:sz w:val="24"/>
                <w:szCs w:val="24"/>
                <w:lang w:eastAsia="it-IT"/>
              </w:rPr>
              <w:t>nonchè</w:t>
            </w:r>
            <w:proofErr w:type="spellEnd"/>
            <w:r w:rsidRPr="00257D54">
              <w:rPr>
                <w:rFonts w:ascii="Verdana" w:eastAsia="Times New Roman" w:hAnsi="Verdana" w:cs="Times New Roman"/>
                <w:sz w:val="24"/>
                <w:szCs w:val="24"/>
                <w:lang w:eastAsia="it-IT"/>
              </w:rPr>
              <w:t xml:space="preserve"> i corrispondenti importi mensili della prestazione, da applicare dal 1° luglio 2017 al 30 giugno 2018, alle diverse tipologie di nuclei familiari.</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Gli stessi livelli di reddito avranno validità per la determinazione degli importi giornalieri, settimanali, quattordicinali e quindicinali della prestazione.</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p w:rsidR="00257D54" w:rsidRPr="00257D54" w:rsidRDefault="00257D54" w:rsidP="00257D54">
            <w:pPr>
              <w:spacing w:after="0"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Le Sedi sono invitate a portare a conoscenza dei datori di lavoro, delle relative associazioni di categoria, dei consulenti del lavoro e degli Enti di Patronato, con ogni possibile sollecitudine, il contenuto della presente circolare.</w:t>
            </w:r>
          </w:p>
          <w:p w:rsidR="00257D54" w:rsidRPr="00257D54" w:rsidRDefault="00257D54" w:rsidP="00257D54">
            <w:pPr>
              <w:spacing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tbl>
            <w:tblPr>
              <w:tblW w:w="5000" w:type="pct"/>
              <w:tblCellMar>
                <w:top w:w="15" w:type="dxa"/>
                <w:left w:w="15" w:type="dxa"/>
                <w:bottom w:w="15" w:type="dxa"/>
                <w:right w:w="15" w:type="dxa"/>
              </w:tblCellMar>
              <w:tblLook w:val="04A0" w:firstRow="1" w:lastRow="0" w:firstColumn="1" w:lastColumn="0" w:noHBand="0" w:noVBand="1"/>
            </w:tblPr>
            <w:tblGrid>
              <w:gridCol w:w="3032"/>
              <w:gridCol w:w="3124"/>
              <w:gridCol w:w="3032"/>
            </w:tblGrid>
            <w:tr w:rsidR="00257D54" w:rsidRPr="00257D54" w:rsidTr="00257D54">
              <w:tc>
                <w:tcPr>
                  <w:tcW w:w="1650" w:type="pct"/>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tc>
              <w:tc>
                <w:tcPr>
                  <w:tcW w:w="1700" w:type="pct"/>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Il Direttore Generale</w:t>
                  </w:r>
                </w:p>
              </w:tc>
              <w:tc>
                <w:tcPr>
                  <w:tcW w:w="0" w:type="auto"/>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tc>
            </w:tr>
            <w:tr w:rsidR="00257D54" w:rsidRPr="00257D54" w:rsidTr="00257D54">
              <w:tc>
                <w:tcPr>
                  <w:tcW w:w="1650" w:type="pct"/>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tc>
              <w:tc>
                <w:tcPr>
                  <w:tcW w:w="1700" w:type="pct"/>
                  <w:hideMark/>
                </w:tcPr>
                <w:p w:rsidR="00257D54" w:rsidRPr="00257D54" w:rsidRDefault="00257D54" w:rsidP="00257D54">
                  <w:pPr>
                    <w:spacing w:after="0" w:line="240" w:lineRule="auto"/>
                    <w:jc w:val="center"/>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Gabriella Di Michele</w:t>
                  </w:r>
                </w:p>
              </w:tc>
              <w:tc>
                <w:tcPr>
                  <w:tcW w:w="0" w:type="auto"/>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tc>
            </w:tr>
          </w:tbl>
          <w:p w:rsidR="00257D54" w:rsidRPr="00257D54" w:rsidRDefault="00257D54" w:rsidP="00257D54">
            <w:pPr>
              <w:spacing w:line="240" w:lineRule="auto"/>
              <w:jc w:val="both"/>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t> </w:t>
            </w:r>
          </w:p>
          <w:p w:rsidR="00257D54" w:rsidRPr="00257D54" w:rsidRDefault="00257D54" w:rsidP="00257D54">
            <w:pPr>
              <w:spacing w:after="75" w:line="240" w:lineRule="auto"/>
              <w:rPr>
                <w:rFonts w:ascii="Verdana" w:eastAsia="Times New Roman" w:hAnsi="Verdana" w:cs="Times New Roman"/>
                <w:sz w:val="24"/>
                <w:szCs w:val="24"/>
                <w:lang w:eastAsia="it-IT"/>
              </w:rPr>
            </w:pPr>
            <w:hyperlink r:id="rId10" w:history="1">
              <w:r w:rsidRPr="00257D54">
                <w:rPr>
                  <w:rFonts w:ascii="Verdana" w:eastAsia="Times New Roman" w:hAnsi="Verdana" w:cs="Times New Roman"/>
                  <w:b/>
                  <w:bCs/>
                  <w:color w:val="0000FF"/>
                  <w:sz w:val="20"/>
                  <w:szCs w:val="20"/>
                  <w:lang w:eastAsia="it-IT"/>
                </w:rPr>
                <w:t>Allegato N.1</w:t>
              </w:r>
            </w:hyperlink>
          </w:p>
        </w:tc>
        <w:tc>
          <w:tcPr>
            <w:tcW w:w="450" w:type="dxa"/>
            <w:hideMark/>
          </w:tcPr>
          <w:p w:rsidR="00257D54" w:rsidRPr="00257D54" w:rsidRDefault="00257D54" w:rsidP="00257D54">
            <w:pPr>
              <w:spacing w:after="0" w:line="240" w:lineRule="auto"/>
              <w:rPr>
                <w:rFonts w:ascii="Verdana" w:eastAsia="Times New Roman" w:hAnsi="Verdana" w:cs="Times New Roman"/>
                <w:sz w:val="24"/>
                <w:szCs w:val="24"/>
                <w:lang w:eastAsia="it-IT"/>
              </w:rPr>
            </w:pPr>
            <w:r w:rsidRPr="00257D54">
              <w:rPr>
                <w:rFonts w:ascii="Verdana" w:eastAsia="Times New Roman" w:hAnsi="Verdana" w:cs="Times New Roman"/>
                <w:sz w:val="24"/>
                <w:szCs w:val="24"/>
                <w:lang w:eastAsia="it-IT"/>
              </w:rPr>
              <w:lastRenderedPageBreak/>
              <w:t xml:space="preserve">  </w:t>
            </w:r>
          </w:p>
        </w:tc>
      </w:tr>
    </w:tbl>
    <w:p w:rsidR="001B7540" w:rsidRDefault="001B7540"/>
    <w:sectPr w:rsidR="001B75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3F637295"/>
    <w:multiLevelType w:val="multilevel"/>
    <w:tmpl w:val="1216492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55206"/>
    <w:multiLevelType w:val="multilevel"/>
    <w:tmpl w:val="0BDE8F6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27BC6"/>
    <w:multiLevelType w:val="multilevel"/>
    <w:tmpl w:val="76A2C6E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54"/>
    <w:rsid w:val="001B7540"/>
    <w:rsid w:val="00257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7D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7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7D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7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98988">
      <w:bodyDiv w:val="1"/>
      <w:marLeft w:val="0"/>
      <w:marRight w:val="0"/>
      <w:marTop w:val="0"/>
      <w:marBottom w:val="0"/>
      <w:divBdr>
        <w:top w:val="none" w:sz="0" w:space="0" w:color="auto"/>
        <w:left w:val="none" w:sz="0" w:space="0" w:color="auto"/>
        <w:bottom w:val="none" w:sz="0" w:space="0" w:color="auto"/>
        <w:right w:val="none" w:sz="0" w:space="0" w:color="auto"/>
      </w:divBdr>
      <w:divsChild>
        <w:div w:id="239948554">
          <w:marLeft w:val="0"/>
          <w:marRight w:val="0"/>
          <w:marTop w:val="0"/>
          <w:marBottom w:val="0"/>
          <w:divBdr>
            <w:top w:val="none" w:sz="0" w:space="0" w:color="auto"/>
            <w:left w:val="none" w:sz="0" w:space="0" w:color="auto"/>
            <w:bottom w:val="none" w:sz="0" w:space="0" w:color="auto"/>
            <w:right w:val="none" w:sz="0" w:space="0" w:color="auto"/>
          </w:divBdr>
        </w:div>
        <w:div w:id="370884102">
          <w:marLeft w:val="0"/>
          <w:marRight w:val="300"/>
          <w:marTop w:val="300"/>
          <w:marBottom w:val="0"/>
          <w:divBdr>
            <w:top w:val="none" w:sz="0" w:space="0" w:color="auto"/>
            <w:left w:val="none" w:sz="0" w:space="0" w:color="auto"/>
            <w:bottom w:val="none" w:sz="0" w:space="0" w:color="auto"/>
            <w:right w:val="none" w:sz="0" w:space="0" w:color="auto"/>
          </w:divBdr>
        </w:div>
        <w:div w:id="804739505">
          <w:marLeft w:val="0"/>
          <w:marRight w:val="0"/>
          <w:marTop w:val="0"/>
          <w:marBottom w:val="0"/>
          <w:divBdr>
            <w:top w:val="none" w:sz="0" w:space="0" w:color="auto"/>
            <w:left w:val="none" w:sz="0" w:space="0" w:color="auto"/>
            <w:bottom w:val="single" w:sz="6" w:space="0" w:color="B2BBBD"/>
            <w:right w:val="none" w:sz="0" w:space="0" w:color="auto"/>
          </w:divBdr>
          <w:divsChild>
            <w:div w:id="1327711665">
              <w:marLeft w:val="0"/>
              <w:marRight w:val="0"/>
              <w:marTop w:val="0"/>
              <w:marBottom w:val="0"/>
              <w:divBdr>
                <w:top w:val="none" w:sz="0" w:space="0" w:color="auto"/>
                <w:left w:val="none" w:sz="0" w:space="0" w:color="auto"/>
                <w:bottom w:val="none" w:sz="0" w:space="0" w:color="auto"/>
                <w:right w:val="none" w:sz="0" w:space="0" w:color="auto"/>
              </w:divBdr>
              <w:divsChild>
                <w:div w:id="114711857">
                  <w:marLeft w:val="0"/>
                  <w:marRight w:val="0"/>
                  <w:marTop w:val="0"/>
                  <w:marBottom w:val="0"/>
                  <w:divBdr>
                    <w:top w:val="none" w:sz="0" w:space="0" w:color="auto"/>
                    <w:left w:val="none" w:sz="0" w:space="0" w:color="auto"/>
                    <w:bottom w:val="none" w:sz="0" w:space="0" w:color="auto"/>
                    <w:right w:val="none" w:sz="0" w:space="0" w:color="auto"/>
                  </w:divBdr>
                  <w:divsChild>
                    <w:div w:id="10639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6614">
          <w:marLeft w:val="75"/>
          <w:marRight w:val="0"/>
          <w:marTop w:val="0"/>
          <w:marBottom w:val="0"/>
          <w:divBdr>
            <w:top w:val="none" w:sz="0" w:space="0" w:color="auto"/>
            <w:left w:val="none" w:sz="0" w:space="0" w:color="auto"/>
            <w:bottom w:val="none" w:sz="0" w:space="0" w:color="auto"/>
            <w:right w:val="none" w:sz="0" w:space="0" w:color="auto"/>
          </w:divBdr>
          <w:divsChild>
            <w:div w:id="15353022">
              <w:marLeft w:val="0"/>
              <w:marRight w:val="0"/>
              <w:marTop w:val="0"/>
              <w:marBottom w:val="0"/>
              <w:divBdr>
                <w:top w:val="none" w:sz="0" w:space="0" w:color="auto"/>
                <w:left w:val="none" w:sz="0" w:space="0" w:color="auto"/>
                <w:bottom w:val="none" w:sz="0" w:space="0" w:color="auto"/>
                <w:right w:val="none" w:sz="0" w:space="0" w:color="auto"/>
              </w:divBdr>
            </w:div>
            <w:div w:id="1562054373">
              <w:marLeft w:val="0"/>
              <w:marRight w:val="0"/>
              <w:marTop w:val="0"/>
              <w:marBottom w:val="0"/>
              <w:divBdr>
                <w:top w:val="none" w:sz="0" w:space="0" w:color="auto"/>
                <w:left w:val="none" w:sz="0" w:space="0" w:color="auto"/>
                <w:bottom w:val="none" w:sz="0" w:space="0" w:color="auto"/>
                <w:right w:val="none" w:sz="0" w:space="0" w:color="auto"/>
              </w:divBdr>
              <w:divsChild>
                <w:div w:id="308637416">
                  <w:marLeft w:val="30"/>
                  <w:marRight w:val="30"/>
                  <w:marTop w:val="30"/>
                  <w:marBottom w:val="30"/>
                  <w:divBdr>
                    <w:top w:val="none" w:sz="0" w:space="0" w:color="auto"/>
                    <w:left w:val="none" w:sz="0" w:space="0" w:color="auto"/>
                    <w:bottom w:val="none" w:sz="0" w:space="0" w:color="auto"/>
                    <w:right w:val="none" w:sz="0" w:space="0" w:color="auto"/>
                  </w:divBdr>
                  <w:divsChild>
                    <w:div w:id="1354261841">
                      <w:marLeft w:val="0"/>
                      <w:marRight w:val="0"/>
                      <w:marTop w:val="0"/>
                      <w:marBottom w:val="0"/>
                      <w:divBdr>
                        <w:top w:val="none" w:sz="0" w:space="0" w:color="auto"/>
                        <w:left w:val="none" w:sz="0" w:space="0" w:color="auto"/>
                        <w:bottom w:val="none" w:sz="0" w:space="0" w:color="auto"/>
                        <w:right w:val="none" w:sz="0" w:space="0" w:color="auto"/>
                      </w:divBdr>
                    </w:div>
                    <w:div w:id="319507111">
                      <w:marLeft w:val="225"/>
                      <w:marRight w:val="225"/>
                      <w:marTop w:val="75"/>
                      <w:marBottom w:val="75"/>
                      <w:divBdr>
                        <w:top w:val="none" w:sz="0" w:space="0" w:color="auto"/>
                        <w:left w:val="none" w:sz="0" w:space="0" w:color="auto"/>
                        <w:bottom w:val="none" w:sz="0" w:space="0" w:color="auto"/>
                        <w:right w:val="none" w:sz="0" w:space="0" w:color="auto"/>
                      </w:divBdr>
                      <w:divsChild>
                        <w:div w:id="1853957545">
                          <w:marLeft w:val="0"/>
                          <w:marRight w:val="0"/>
                          <w:marTop w:val="600"/>
                          <w:marBottom w:val="600"/>
                          <w:divBdr>
                            <w:top w:val="none" w:sz="0" w:space="0" w:color="auto"/>
                            <w:left w:val="none" w:sz="0" w:space="0" w:color="auto"/>
                            <w:bottom w:val="none" w:sz="0" w:space="0" w:color="auto"/>
                            <w:right w:val="none" w:sz="0" w:space="0" w:color="auto"/>
                          </w:divBdr>
                        </w:div>
                        <w:div w:id="20522362">
                          <w:marLeft w:val="0"/>
                          <w:marRight w:val="0"/>
                          <w:marTop w:val="0"/>
                          <w:marBottom w:val="0"/>
                          <w:divBdr>
                            <w:top w:val="none" w:sz="0" w:space="0" w:color="auto"/>
                            <w:left w:val="none" w:sz="0" w:space="0" w:color="auto"/>
                            <w:bottom w:val="none" w:sz="0" w:space="0" w:color="auto"/>
                            <w:right w:val="none" w:sz="0" w:space="0" w:color="auto"/>
                          </w:divBdr>
                          <w:divsChild>
                            <w:div w:id="1532255876">
                              <w:marLeft w:val="108"/>
                              <w:marRight w:val="108"/>
                              <w:marTop w:val="0"/>
                              <w:marBottom w:val="0"/>
                              <w:divBdr>
                                <w:top w:val="none" w:sz="0" w:space="0" w:color="auto"/>
                                <w:left w:val="none" w:sz="0" w:space="0" w:color="auto"/>
                                <w:bottom w:val="none" w:sz="0" w:space="0" w:color="auto"/>
                                <w:right w:val="none" w:sz="0" w:space="0" w:color="auto"/>
                              </w:divBdr>
                            </w:div>
                            <w:div w:id="449973804">
                              <w:marLeft w:val="108"/>
                              <w:marRight w:val="108"/>
                              <w:marTop w:val="0"/>
                              <w:marBottom w:val="0"/>
                              <w:divBdr>
                                <w:top w:val="none" w:sz="0" w:space="0" w:color="auto"/>
                                <w:left w:val="none" w:sz="0" w:space="0" w:color="auto"/>
                                <w:bottom w:val="none" w:sz="0" w:space="0" w:color="auto"/>
                                <w:right w:val="none" w:sz="0" w:space="0" w:color="auto"/>
                              </w:divBdr>
                            </w:div>
                            <w:div w:id="1032804726">
                              <w:marLeft w:val="0"/>
                              <w:marRight w:val="0"/>
                              <w:marTop w:val="0"/>
                              <w:marBottom w:val="0"/>
                              <w:divBdr>
                                <w:top w:val="none" w:sz="0" w:space="0" w:color="auto"/>
                                <w:left w:val="none" w:sz="0" w:space="0" w:color="auto"/>
                                <w:bottom w:val="none" w:sz="0" w:space="0" w:color="auto"/>
                                <w:right w:val="none" w:sz="0" w:space="0" w:color="auto"/>
                              </w:divBdr>
                            </w:div>
                            <w:div w:id="719287786">
                              <w:marLeft w:val="0"/>
                              <w:marRight w:val="0"/>
                              <w:marTop w:val="450"/>
                              <w:marBottom w:val="150"/>
                              <w:divBdr>
                                <w:top w:val="none" w:sz="0" w:space="0" w:color="auto"/>
                                <w:left w:val="none" w:sz="0" w:space="0" w:color="auto"/>
                                <w:bottom w:val="none" w:sz="0" w:space="0" w:color="auto"/>
                                <w:right w:val="none" w:sz="0" w:space="0" w:color="auto"/>
                              </w:divBdr>
                            </w:div>
                          </w:divsChild>
                        </w:div>
                        <w:div w:id="1721704573">
                          <w:marLeft w:val="0"/>
                          <w:marRight w:val="0"/>
                          <w:marTop w:val="150"/>
                          <w:marBottom w:val="150"/>
                          <w:divBdr>
                            <w:top w:val="none" w:sz="0" w:space="0" w:color="auto"/>
                            <w:left w:val="none" w:sz="0" w:space="0" w:color="auto"/>
                            <w:bottom w:val="none" w:sz="0" w:space="0" w:color="auto"/>
                            <w:right w:val="none" w:sz="0" w:space="0" w:color="auto"/>
                          </w:divBdr>
                        </w:div>
                        <w:div w:id="436288634">
                          <w:marLeft w:val="0"/>
                          <w:marRight w:val="0"/>
                          <w:marTop w:val="400"/>
                          <w:marBottom w:val="200"/>
                          <w:divBdr>
                            <w:top w:val="none" w:sz="0" w:space="0" w:color="auto"/>
                            <w:left w:val="none" w:sz="0" w:space="0" w:color="auto"/>
                            <w:bottom w:val="none" w:sz="0" w:space="0" w:color="auto"/>
                            <w:right w:val="none" w:sz="0" w:space="0" w:color="auto"/>
                          </w:divBdr>
                        </w:div>
                        <w:div w:id="5682674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s.it/bussola/visualizzadoc.aspx?sVirtuAlURL=/Circolari/../CircolariZIP/Circolare%20numero%2087%20del%2018-05-2017.pdf"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ps.it/bussola/visualizzadoc.aspx?sVirtuAlURL=/Circolari/../CircolariZIP/Circolare%20numero%2087%20del%2018-05-2017_Allegato%20n%201.xls" TargetMode="Externa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2017-05-19T08:53:00Z</dcterms:created>
  <dcterms:modified xsi:type="dcterms:W3CDTF">2017-05-19T08:54:00Z</dcterms:modified>
</cp:coreProperties>
</file>